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B347DB" w14:textId="77777777" w:rsidR="003D1B4E" w:rsidRPr="00D230AE" w:rsidRDefault="003D1B4E" w:rsidP="008F71DA">
      <w:pPr>
        <w:spacing w:after="0" w:line="36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D230AE">
        <w:rPr>
          <w:rFonts w:ascii="Times New Roman" w:hAnsi="Times New Roman" w:cs="Times New Roman"/>
          <w:sz w:val="28"/>
          <w:szCs w:val="28"/>
        </w:rPr>
        <w:t>ЗАТВЕРДЖЕНО</w:t>
      </w:r>
    </w:p>
    <w:p w14:paraId="29D87CC5" w14:textId="77777777" w:rsidR="003D1B4E" w:rsidRPr="00D230AE" w:rsidRDefault="003D1B4E" w:rsidP="008F71DA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D230AE">
        <w:rPr>
          <w:rFonts w:ascii="Times New Roman" w:hAnsi="Times New Roman" w:cs="Times New Roman"/>
          <w:sz w:val="28"/>
          <w:szCs w:val="28"/>
        </w:rPr>
        <w:t>Розпорядження начальника</w:t>
      </w:r>
    </w:p>
    <w:p w14:paraId="71374DBB" w14:textId="77777777" w:rsidR="003D1B4E" w:rsidRPr="00D230AE" w:rsidRDefault="003D1B4E" w:rsidP="008F71DA">
      <w:pPr>
        <w:spacing w:after="0" w:line="36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D230AE">
        <w:rPr>
          <w:rFonts w:ascii="Times New Roman" w:hAnsi="Times New Roman" w:cs="Times New Roman"/>
          <w:sz w:val="28"/>
          <w:szCs w:val="28"/>
        </w:rPr>
        <w:t>обласної військової адміністрації</w:t>
      </w:r>
    </w:p>
    <w:p w14:paraId="71ADF9AA" w14:textId="62392C09" w:rsidR="003D1B4E" w:rsidRPr="00D230AE" w:rsidRDefault="0047304E" w:rsidP="008F71DA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03</w:t>
      </w:r>
      <w:r w:rsidR="008F71DA">
        <w:rPr>
          <w:rFonts w:ascii="Times New Roman" w:hAnsi="Times New Roman" w:cs="Times New Roman"/>
          <w:sz w:val="28"/>
          <w:szCs w:val="28"/>
        </w:rPr>
        <w:t xml:space="preserve"> </w:t>
      </w:r>
      <w:r w:rsidR="005245A0">
        <w:rPr>
          <w:rFonts w:ascii="Times New Roman" w:hAnsi="Times New Roman" w:cs="Times New Roman"/>
          <w:sz w:val="28"/>
          <w:szCs w:val="28"/>
        </w:rPr>
        <w:t>листопада 2025 р</w:t>
      </w:r>
      <w:r w:rsidR="008F71DA">
        <w:rPr>
          <w:rFonts w:ascii="Times New Roman" w:hAnsi="Times New Roman" w:cs="Times New Roman"/>
          <w:sz w:val="28"/>
          <w:szCs w:val="28"/>
        </w:rPr>
        <w:t xml:space="preserve">оку </w:t>
      </w:r>
      <w:r w:rsidR="003D1B4E" w:rsidRPr="00D230AE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623</w:t>
      </w:r>
    </w:p>
    <w:p w14:paraId="1457BB55" w14:textId="77777777" w:rsidR="00A72306" w:rsidRPr="00D230AE" w:rsidRDefault="00A72306" w:rsidP="00A72306">
      <w:pPr>
        <w:spacing w:line="276" w:lineRule="auto"/>
        <w:ind w:left="5387"/>
        <w:rPr>
          <w:rFonts w:ascii="Times New Roman" w:hAnsi="Times New Roman" w:cs="Times New Roman"/>
          <w:sz w:val="28"/>
          <w:szCs w:val="28"/>
        </w:rPr>
      </w:pPr>
    </w:p>
    <w:p w14:paraId="04BA784F" w14:textId="77777777" w:rsidR="005A1327" w:rsidRPr="00000396" w:rsidRDefault="008524F8" w:rsidP="00000396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00396">
        <w:rPr>
          <w:rFonts w:ascii="Times New Roman" w:hAnsi="Times New Roman" w:cs="Times New Roman"/>
          <w:color w:val="000000" w:themeColor="text1"/>
          <w:sz w:val="28"/>
          <w:szCs w:val="28"/>
        </w:rPr>
        <w:t>ПОРЯДОК</w:t>
      </w:r>
    </w:p>
    <w:p w14:paraId="00A62CAB" w14:textId="67C70809" w:rsidR="005A1327" w:rsidRPr="00000396" w:rsidRDefault="005A1327" w:rsidP="00000396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Hlk213160839"/>
      <w:r w:rsidRPr="000003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розроблення та моніторингу </w:t>
      </w:r>
      <w:r w:rsidRPr="00F941BD">
        <w:rPr>
          <w:rFonts w:ascii="Times New Roman" w:hAnsi="Times New Roman" w:cs="Times New Roman"/>
          <w:color w:val="000000" w:themeColor="text1"/>
          <w:sz w:val="28"/>
          <w:szCs w:val="28"/>
        </w:rPr>
        <w:t>реалізації середньострокового</w:t>
      </w:r>
      <w:r w:rsidRPr="000003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плану пріоритетних публічних інвестицій </w:t>
      </w:r>
      <w:r w:rsidR="006A0CF1" w:rsidRPr="00000396">
        <w:rPr>
          <w:rFonts w:ascii="Times New Roman" w:hAnsi="Times New Roman" w:cs="Times New Roman"/>
          <w:color w:val="000000" w:themeColor="text1"/>
          <w:sz w:val="28"/>
          <w:szCs w:val="28"/>
        </w:rPr>
        <w:t>Волин</w:t>
      </w:r>
      <w:r w:rsidR="0036100B" w:rsidRPr="00000396">
        <w:rPr>
          <w:rFonts w:ascii="Times New Roman" w:hAnsi="Times New Roman" w:cs="Times New Roman"/>
          <w:color w:val="000000" w:themeColor="text1"/>
          <w:sz w:val="28"/>
          <w:szCs w:val="28"/>
        </w:rPr>
        <w:t>ської</w:t>
      </w:r>
      <w:r w:rsidRPr="000003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області</w:t>
      </w:r>
      <w:bookmarkEnd w:id="0"/>
    </w:p>
    <w:p w14:paraId="020C57EB" w14:textId="77777777" w:rsidR="004E0FBA" w:rsidRPr="00000396" w:rsidRDefault="004E0FBA" w:rsidP="00000396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E07674E" w14:textId="2226E0A8" w:rsidR="00BE06F8" w:rsidRDefault="00FB502E" w:rsidP="00FB502E">
      <w:pPr>
        <w:pStyle w:val="a9"/>
        <w:spacing w:after="0" w:line="240" w:lineRule="auto"/>
        <w:ind w:left="108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І. </w:t>
      </w:r>
      <w:r w:rsidR="00BE06F8" w:rsidRPr="00000396">
        <w:rPr>
          <w:rFonts w:ascii="Times New Roman" w:hAnsi="Times New Roman" w:cs="Times New Roman"/>
          <w:color w:val="000000" w:themeColor="text1"/>
          <w:sz w:val="28"/>
          <w:szCs w:val="28"/>
        </w:rPr>
        <w:t>Загальні положення</w:t>
      </w:r>
    </w:p>
    <w:p w14:paraId="1DA5C3A7" w14:textId="77777777" w:rsidR="00FB502E" w:rsidRPr="00000396" w:rsidRDefault="00FB502E" w:rsidP="00FB502E">
      <w:pPr>
        <w:pStyle w:val="a9"/>
        <w:spacing w:after="0" w:line="240" w:lineRule="auto"/>
        <w:ind w:left="108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49C3C04" w14:textId="48825224" w:rsidR="00BE06F8" w:rsidRPr="00A52856" w:rsidRDefault="00A52856" w:rsidP="00A5285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8524F8" w:rsidRPr="00A52856">
        <w:rPr>
          <w:rFonts w:ascii="Times New Roman" w:hAnsi="Times New Roman" w:cs="Times New Roman"/>
          <w:sz w:val="28"/>
          <w:szCs w:val="28"/>
        </w:rPr>
        <w:t xml:space="preserve">Цей Порядок визначає механізм розроблення та моніторингу реалізації середньострокового плану пріоритетних публічних інвестицій </w:t>
      </w:r>
      <w:r w:rsidR="006A0CF1" w:rsidRPr="00A52856">
        <w:rPr>
          <w:rFonts w:ascii="Times New Roman" w:hAnsi="Times New Roman" w:cs="Times New Roman"/>
          <w:sz w:val="28"/>
          <w:szCs w:val="28"/>
        </w:rPr>
        <w:t>Волинськ</w:t>
      </w:r>
      <w:r w:rsidR="0036100B" w:rsidRPr="00A52856">
        <w:rPr>
          <w:rFonts w:ascii="Times New Roman" w:hAnsi="Times New Roman" w:cs="Times New Roman"/>
          <w:sz w:val="28"/>
          <w:szCs w:val="28"/>
        </w:rPr>
        <w:t>ої</w:t>
      </w:r>
      <w:r w:rsidR="008E5AC7" w:rsidRPr="00A52856">
        <w:rPr>
          <w:rFonts w:ascii="Times New Roman" w:hAnsi="Times New Roman" w:cs="Times New Roman"/>
          <w:sz w:val="28"/>
          <w:szCs w:val="28"/>
        </w:rPr>
        <w:t xml:space="preserve"> області</w:t>
      </w:r>
      <w:r w:rsidR="008524F8" w:rsidRPr="00A52856">
        <w:rPr>
          <w:rFonts w:ascii="Times New Roman" w:hAnsi="Times New Roman" w:cs="Times New Roman"/>
          <w:sz w:val="28"/>
          <w:szCs w:val="28"/>
        </w:rPr>
        <w:t xml:space="preserve"> (далі – середньостроковий план).</w:t>
      </w:r>
    </w:p>
    <w:p w14:paraId="54FDBF1F" w14:textId="27F5F1AD" w:rsidR="00BE06F8" w:rsidRPr="00A52856" w:rsidRDefault="00A52856" w:rsidP="00A5285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8524F8" w:rsidRPr="00A52856">
        <w:rPr>
          <w:rFonts w:ascii="Times New Roman" w:hAnsi="Times New Roman" w:cs="Times New Roman"/>
          <w:sz w:val="28"/>
          <w:szCs w:val="28"/>
        </w:rPr>
        <w:t xml:space="preserve">Середньостроковий план розробляється на плановий і наступні за плановим два бюджетних періоди щороку під час складання </w:t>
      </w:r>
      <w:r w:rsidR="00BE06F8" w:rsidRPr="00A52856">
        <w:rPr>
          <w:rFonts w:ascii="Times New Roman" w:hAnsi="Times New Roman" w:cs="Times New Roman"/>
          <w:sz w:val="28"/>
          <w:szCs w:val="28"/>
        </w:rPr>
        <w:t>прогнозу місцевого бюджету</w:t>
      </w:r>
      <w:r w:rsidR="008524F8" w:rsidRPr="00A52856">
        <w:rPr>
          <w:rFonts w:ascii="Times New Roman" w:hAnsi="Times New Roman" w:cs="Times New Roman"/>
          <w:sz w:val="28"/>
          <w:szCs w:val="28"/>
        </w:rPr>
        <w:t>.</w:t>
      </w:r>
      <w:bookmarkStart w:id="1" w:name="n21"/>
      <w:bookmarkEnd w:id="1"/>
    </w:p>
    <w:p w14:paraId="05063E0E" w14:textId="16731F7F" w:rsidR="00BE06F8" w:rsidRPr="00A52856" w:rsidRDefault="00A52856" w:rsidP="00A5285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36100B" w:rsidRPr="00A52856">
        <w:rPr>
          <w:rFonts w:ascii="Times New Roman" w:hAnsi="Times New Roman" w:cs="Times New Roman"/>
          <w:sz w:val="28"/>
          <w:szCs w:val="28"/>
        </w:rPr>
        <w:t>Середньостроковий план розробляється обласно</w:t>
      </w:r>
      <w:r w:rsidR="00BE06F8" w:rsidRPr="00A52856">
        <w:rPr>
          <w:rFonts w:ascii="Times New Roman" w:hAnsi="Times New Roman" w:cs="Times New Roman"/>
          <w:sz w:val="28"/>
          <w:szCs w:val="28"/>
        </w:rPr>
        <w:t>ю</w:t>
      </w:r>
      <w:r w:rsidR="0036100B" w:rsidRPr="00A52856">
        <w:rPr>
          <w:rFonts w:ascii="Times New Roman" w:hAnsi="Times New Roman" w:cs="Times New Roman"/>
          <w:sz w:val="28"/>
          <w:szCs w:val="28"/>
        </w:rPr>
        <w:t xml:space="preserve"> державно</w:t>
      </w:r>
      <w:r w:rsidR="00BE06F8" w:rsidRPr="00A52856">
        <w:rPr>
          <w:rFonts w:ascii="Times New Roman" w:hAnsi="Times New Roman" w:cs="Times New Roman"/>
          <w:sz w:val="28"/>
          <w:szCs w:val="28"/>
        </w:rPr>
        <w:t>ю</w:t>
      </w:r>
      <w:r w:rsidR="0036100B" w:rsidRPr="00A52856">
        <w:rPr>
          <w:rFonts w:ascii="Times New Roman" w:hAnsi="Times New Roman" w:cs="Times New Roman"/>
          <w:sz w:val="28"/>
          <w:szCs w:val="28"/>
        </w:rPr>
        <w:t xml:space="preserve"> адміністраці</w:t>
      </w:r>
      <w:r w:rsidR="00BE06F8" w:rsidRPr="00A52856">
        <w:rPr>
          <w:rFonts w:ascii="Times New Roman" w:hAnsi="Times New Roman" w:cs="Times New Roman"/>
          <w:sz w:val="28"/>
          <w:szCs w:val="28"/>
        </w:rPr>
        <w:t>єю</w:t>
      </w:r>
      <w:r w:rsidR="0036100B" w:rsidRPr="00A52856">
        <w:rPr>
          <w:rFonts w:ascii="Times New Roman" w:hAnsi="Times New Roman" w:cs="Times New Roman"/>
          <w:sz w:val="28"/>
          <w:szCs w:val="28"/>
        </w:rPr>
        <w:t xml:space="preserve"> на підставі пропозицій структурни</w:t>
      </w:r>
      <w:r w:rsidR="00F34449" w:rsidRPr="00A52856">
        <w:rPr>
          <w:rFonts w:ascii="Times New Roman" w:hAnsi="Times New Roman" w:cs="Times New Roman"/>
          <w:sz w:val="28"/>
          <w:szCs w:val="28"/>
        </w:rPr>
        <w:t>х</w:t>
      </w:r>
      <w:r w:rsidR="0036100B" w:rsidRPr="00A52856">
        <w:rPr>
          <w:rFonts w:ascii="Times New Roman" w:hAnsi="Times New Roman" w:cs="Times New Roman"/>
          <w:sz w:val="28"/>
          <w:szCs w:val="28"/>
        </w:rPr>
        <w:t xml:space="preserve"> підрозділ</w:t>
      </w:r>
      <w:r w:rsidR="00F34449" w:rsidRPr="00A52856">
        <w:rPr>
          <w:rFonts w:ascii="Times New Roman" w:hAnsi="Times New Roman" w:cs="Times New Roman"/>
          <w:sz w:val="28"/>
          <w:szCs w:val="28"/>
        </w:rPr>
        <w:t>ів</w:t>
      </w:r>
      <w:r w:rsidR="0036100B" w:rsidRPr="00A52856">
        <w:rPr>
          <w:rFonts w:ascii="Times New Roman" w:hAnsi="Times New Roman" w:cs="Times New Roman"/>
          <w:sz w:val="28"/>
          <w:szCs w:val="28"/>
        </w:rPr>
        <w:t xml:space="preserve"> обласної державної адміністрації відповідно до </w:t>
      </w:r>
      <w:r w:rsidR="00F34449" w:rsidRPr="00A52856">
        <w:rPr>
          <w:rFonts w:ascii="Times New Roman" w:hAnsi="Times New Roman" w:cs="Times New Roman"/>
          <w:sz w:val="28"/>
          <w:szCs w:val="28"/>
        </w:rPr>
        <w:t>цілей і завдань, визначених документами стратегічного планування, у</w:t>
      </w:r>
      <w:r w:rsidR="0036100B" w:rsidRPr="00A52856">
        <w:rPr>
          <w:rFonts w:ascii="Times New Roman" w:hAnsi="Times New Roman" w:cs="Times New Roman"/>
          <w:sz w:val="28"/>
          <w:szCs w:val="28"/>
        </w:rPr>
        <w:t xml:space="preserve"> межах доведеного департаментом фінансів </w:t>
      </w:r>
      <w:r w:rsidR="00F34449" w:rsidRPr="00A52856">
        <w:rPr>
          <w:rFonts w:ascii="Times New Roman" w:hAnsi="Times New Roman" w:cs="Times New Roman"/>
          <w:sz w:val="28"/>
          <w:szCs w:val="28"/>
        </w:rPr>
        <w:t>обласної державної адміністрації</w:t>
      </w:r>
      <w:r w:rsidR="0036100B" w:rsidRPr="00A52856">
        <w:rPr>
          <w:rFonts w:ascii="Times New Roman" w:hAnsi="Times New Roman" w:cs="Times New Roman"/>
          <w:sz w:val="28"/>
          <w:szCs w:val="28"/>
        </w:rPr>
        <w:t xml:space="preserve"> орієнтовного граничного </w:t>
      </w:r>
      <w:r w:rsidR="00F34449" w:rsidRPr="00A52856">
        <w:rPr>
          <w:rFonts w:ascii="Times New Roman" w:hAnsi="Times New Roman" w:cs="Times New Roman"/>
          <w:sz w:val="28"/>
          <w:szCs w:val="28"/>
        </w:rPr>
        <w:t xml:space="preserve">сукупного </w:t>
      </w:r>
      <w:r w:rsidR="0036100B" w:rsidRPr="00A52856">
        <w:rPr>
          <w:rFonts w:ascii="Times New Roman" w:hAnsi="Times New Roman" w:cs="Times New Roman"/>
          <w:sz w:val="28"/>
          <w:szCs w:val="28"/>
        </w:rPr>
        <w:t>обсягу публічних інвестицій на середньостроковий період.</w:t>
      </w:r>
    </w:p>
    <w:p w14:paraId="1A3C2087" w14:textId="79B4030A" w:rsidR="00BE06F8" w:rsidRPr="00A52856" w:rsidRDefault="00A52856" w:rsidP="00A5285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="00BE06F8" w:rsidRPr="00A52856">
        <w:rPr>
          <w:rFonts w:ascii="Times New Roman" w:hAnsi="Times New Roman" w:cs="Times New Roman"/>
          <w:sz w:val="28"/>
          <w:szCs w:val="28"/>
        </w:rPr>
        <w:t>Середньостроковий план формується з використанням Єдиної інформаційної системи управління публічними інвестиційними проєктами (далі</w:t>
      </w:r>
      <w:r>
        <w:rPr>
          <w:rFonts w:ascii="Times New Roman" w:hAnsi="Times New Roman" w:cs="Times New Roman"/>
          <w:sz w:val="28"/>
          <w:szCs w:val="28"/>
        </w:rPr>
        <w:t xml:space="preserve"> ‒</w:t>
      </w:r>
      <w:r w:rsidR="00BE06F8" w:rsidRPr="00A52856">
        <w:rPr>
          <w:rFonts w:ascii="Times New Roman" w:hAnsi="Times New Roman" w:cs="Times New Roman"/>
          <w:sz w:val="28"/>
          <w:szCs w:val="28"/>
        </w:rPr>
        <w:t xml:space="preserve"> Єдина інформаційна система)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5B36DC2" w14:textId="25D5AD09" w:rsidR="00607E25" w:rsidRPr="00000396" w:rsidRDefault="00FB502E" w:rsidP="00FB502E">
      <w:pPr>
        <w:pStyle w:val="rvps2"/>
        <w:shd w:val="clear" w:color="auto" w:fill="FFFFFF"/>
        <w:tabs>
          <w:tab w:val="left" w:pos="851"/>
        </w:tabs>
        <w:spacing w:before="0" w:beforeAutospacing="0" w:after="120" w:afterAutospacing="0"/>
        <w:jc w:val="center"/>
        <w:rPr>
          <w:sz w:val="28"/>
          <w:szCs w:val="28"/>
        </w:rPr>
      </w:pPr>
      <w:bookmarkStart w:id="2" w:name="n22"/>
      <w:bookmarkEnd w:id="2"/>
      <w:r>
        <w:rPr>
          <w:sz w:val="28"/>
          <w:szCs w:val="28"/>
        </w:rPr>
        <w:t>ІІ. </w:t>
      </w:r>
      <w:r w:rsidR="00607E25" w:rsidRPr="00000396">
        <w:rPr>
          <w:sz w:val="28"/>
          <w:szCs w:val="28"/>
        </w:rPr>
        <w:t>Структура середньострокового плану</w:t>
      </w:r>
    </w:p>
    <w:p w14:paraId="3BE07722" w14:textId="726EF30B" w:rsidR="00607E25" w:rsidRPr="00000396" w:rsidRDefault="00607E25" w:rsidP="009977A3">
      <w:pPr>
        <w:pStyle w:val="rvps2"/>
        <w:shd w:val="clear" w:color="auto" w:fill="FFFFFF"/>
        <w:tabs>
          <w:tab w:val="left" w:pos="851"/>
        </w:tabs>
        <w:spacing w:before="0" w:beforeAutospacing="0" w:after="120" w:afterAutospacing="0"/>
        <w:ind w:firstLine="567"/>
        <w:jc w:val="both"/>
        <w:rPr>
          <w:sz w:val="28"/>
          <w:szCs w:val="28"/>
        </w:rPr>
      </w:pPr>
      <w:r w:rsidRPr="00000396">
        <w:rPr>
          <w:sz w:val="28"/>
          <w:szCs w:val="28"/>
        </w:rPr>
        <w:t>Середньостроковий план розробляється з урахуванням цього Порядку та має таку структуру:</w:t>
      </w:r>
    </w:p>
    <w:p w14:paraId="609D220D" w14:textId="1DED83A8" w:rsidR="00607E25" w:rsidRPr="00000396" w:rsidRDefault="00607E25" w:rsidP="00000396">
      <w:pPr>
        <w:pStyle w:val="rvps2"/>
        <w:shd w:val="clear" w:color="auto" w:fill="FFFFFF"/>
        <w:tabs>
          <w:tab w:val="left" w:pos="851"/>
        </w:tabs>
        <w:spacing w:before="0" w:beforeAutospacing="0" w:after="120" w:afterAutospacing="0"/>
        <w:ind w:left="567"/>
        <w:jc w:val="both"/>
        <w:rPr>
          <w:sz w:val="28"/>
          <w:szCs w:val="28"/>
        </w:rPr>
      </w:pPr>
      <w:r w:rsidRPr="00000396">
        <w:rPr>
          <w:sz w:val="28"/>
          <w:szCs w:val="28"/>
        </w:rPr>
        <w:t>1) загальна частина, що визначає мету та підстави його розроблення;</w:t>
      </w:r>
    </w:p>
    <w:p w14:paraId="66959020" w14:textId="77777777" w:rsidR="00607E25" w:rsidRPr="00000396" w:rsidRDefault="00607E25" w:rsidP="00ED34CB">
      <w:pPr>
        <w:pStyle w:val="rvps2"/>
        <w:shd w:val="clear" w:color="auto" w:fill="FFFFFF"/>
        <w:tabs>
          <w:tab w:val="left" w:pos="851"/>
        </w:tabs>
        <w:spacing w:before="0" w:beforeAutospacing="0" w:after="0" w:afterAutospacing="0"/>
        <w:ind w:left="567"/>
        <w:jc w:val="both"/>
        <w:rPr>
          <w:sz w:val="28"/>
          <w:szCs w:val="28"/>
        </w:rPr>
      </w:pPr>
      <w:r w:rsidRPr="00000396">
        <w:rPr>
          <w:sz w:val="28"/>
          <w:szCs w:val="28"/>
        </w:rPr>
        <w:t>2) описова частина, що визначає:</w:t>
      </w:r>
    </w:p>
    <w:p w14:paraId="6D5344EE" w14:textId="505FFAAA" w:rsidR="00607E25" w:rsidRPr="00000396" w:rsidRDefault="00607E25" w:rsidP="00ED34CB">
      <w:pPr>
        <w:pStyle w:val="rvps2"/>
        <w:shd w:val="clear" w:color="auto" w:fill="FFFFFF"/>
        <w:tabs>
          <w:tab w:val="left" w:pos="851"/>
        </w:tabs>
        <w:spacing w:before="0" w:beforeAutospacing="0" w:after="0" w:afterAutospacing="0"/>
        <w:ind w:left="567"/>
        <w:jc w:val="both"/>
        <w:rPr>
          <w:sz w:val="28"/>
          <w:szCs w:val="28"/>
        </w:rPr>
      </w:pPr>
      <w:r w:rsidRPr="00000396">
        <w:rPr>
          <w:sz w:val="28"/>
          <w:szCs w:val="28"/>
        </w:rPr>
        <w:t>наскрізні стратегічні цілі здійснення публічних інвестицій;</w:t>
      </w:r>
    </w:p>
    <w:p w14:paraId="38607E8C" w14:textId="01D22BD1" w:rsidR="00607E25" w:rsidRPr="00000396" w:rsidRDefault="00607E25" w:rsidP="00ED34CB">
      <w:pPr>
        <w:pStyle w:val="rvps2"/>
        <w:shd w:val="clear" w:color="auto" w:fill="FFFFFF"/>
        <w:tabs>
          <w:tab w:val="left" w:pos="851"/>
        </w:tabs>
        <w:spacing w:before="0" w:beforeAutospacing="0" w:after="0" w:afterAutospacing="0"/>
        <w:ind w:left="567"/>
        <w:jc w:val="both"/>
        <w:rPr>
          <w:sz w:val="28"/>
          <w:szCs w:val="28"/>
        </w:rPr>
      </w:pPr>
      <w:r w:rsidRPr="00000396">
        <w:rPr>
          <w:sz w:val="28"/>
          <w:szCs w:val="28"/>
        </w:rPr>
        <w:t>пріоритетні галузі (сектори) для публічного інвестування;</w:t>
      </w:r>
    </w:p>
    <w:p w14:paraId="3EB26EC3" w14:textId="2D0B7294" w:rsidR="00607E25" w:rsidRPr="00000396" w:rsidRDefault="00607E25" w:rsidP="00ED34CB">
      <w:pPr>
        <w:pStyle w:val="rvps2"/>
        <w:shd w:val="clear" w:color="auto" w:fill="FFFFFF"/>
        <w:tabs>
          <w:tab w:val="left" w:pos="851"/>
        </w:tabs>
        <w:spacing w:before="0" w:beforeAutospacing="0" w:after="0" w:afterAutospacing="0"/>
        <w:ind w:left="567"/>
        <w:jc w:val="both"/>
        <w:rPr>
          <w:sz w:val="28"/>
          <w:szCs w:val="28"/>
        </w:rPr>
      </w:pPr>
      <w:r w:rsidRPr="00000396">
        <w:rPr>
          <w:sz w:val="28"/>
          <w:szCs w:val="28"/>
        </w:rPr>
        <w:t>підсектори галузей (секторів) для публічного інвестування;</w:t>
      </w:r>
    </w:p>
    <w:p w14:paraId="6404528F" w14:textId="0986D38D" w:rsidR="00607E25" w:rsidRPr="00000396" w:rsidRDefault="00607E25" w:rsidP="00ED34CB">
      <w:pPr>
        <w:pStyle w:val="rvps2"/>
        <w:shd w:val="clear" w:color="auto" w:fill="FFFFFF"/>
        <w:tabs>
          <w:tab w:val="left" w:pos="851"/>
        </w:tabs>
        <w:spacing w:before="0" w:beforeAutospacing="0" w:after="0" w:afterAutospacing="0"/>
        <w:ind w:left="567"/>
        <w:jc w:val="both"/>
        <w:rPr>
          <w:sz w:val="28"/>
          <w:szCs w:val="28"/>
        </w:rPr>
      </w:pPr>
      <w:r w:rsidRPr="00000396">
        <w:rPr>
          <w:sz w:val="28"/>
          <w:szCs w:val="28"/>
        </w:rPr>
        <w:t>основні напрями публічного інвестування;</w:t>
      </w:r>
    </w:p>
    <w:p w14:paraId="4F6944A4" w14:textId="7049B424" w:rsidR="00607E25" w:rsidRPr="00000396" w:rsidRDefault="00607E25" w:rsidP="00000396">
      <w:pPr>
        <w:pStyle w:val="rvps2"/>
        <w:shd w:val="clear" w:color="auto" w:fill="FFFFFF"/>
        <w:tabs>
          <w:tab w:val="left" w:pos="851"/>
        </w:tabs>
        <w:spacing w:before="0" w:beforeAutospacing="0" w:after="120" w:afterAutospacing="0"/>
        <w:ind w:left="567"/>
        <w:jc w:val="both"/>
        <w:rPr>
          <w:sz w:val="28"/>
          <w:szCs w:val="28"/>
        </w:rPr>
      </w:pPr>
      <w:r w:rsidRPr="00000396">
        <w:rPr>
          <w:sz w:val="28"/>
          <w:szCs w:val="28"/>
        </w:rPr>
        <w:t>джерела фінансового забезпечення публічних інвестицій;</w:t>
      </w:r>
    </w:p>
    <w:p w14:paraId="611E0F35" w14:textId="2EE7346F" w:rsidR="00607E25" w:rsidRPr="00000396" w:rsidRDefault="00607E25" w:rsidP="00ED34CB">
      <w:pPr>
        <w:pStyle w:val="rvps2"/>
        <w:shd w:val="clear" w:color="auto" w:fill="FFFFFF"/>
        <w:tabs>
          <w:tab w:val="left" w:pos="851"/>
        </w:tabs>
        <w:spacing w:before="0" w:beforeAutospacing="0" w:after="120" w:afterAutospacing="0"/>
        <w:ind w:firstLine="567"/>
        <w:jc w:val="both"/>
        <w:rPr>
          <w:sz w:val="28"/>
          <w:szCs w:val="28"/>
        </w:rPr>
      </w:pPr>
      <w:r w:rsidRPr="00000396">
        <w:rPr>
          <w:sz w:val="28"/>
          <w:szCs w:val="28"/>
        </w:rPr>
        <w:t>3)</w:t>
      </w:r>
      <w:r w:rsidR="00ED34CB">
        <w:rPr>
          <w:sz w:val="28"/>
          <w:szCs w:val="28"/>
        </w:rPr>
        <w:t> </w:t>
      </w:r>
      <w:r w:rsidRPr="00000396">
        <w:rPr>
          <w:sz w:val="28"/>
          <w:szCs w:val="28"/>
        </w:rPr>
        <w:t xml:space="preserve">заключна частина, що визначає фундаментальну роль середньострокового плану для управління публічними інвестиціями на регіональному рівні і подальший взаємозв’язок із процесом підготовки, оцінки проєктів та програм, а також формування єдиного проєктного портфеля </w:t>
      </w:r>
      <w:r w:rsidRPr="00000396">
        <w:rPr>
          <w:sz w:val="28"/>
          <w:szCs w:val="28"/>
        </w:rPr>
        <w:lastRenderedPageBreak/>
        <w:t>публічних інвестицій області і галузевих (секторальних) проєктних портфелів області;</w:t>
      </w:r>
    </w:p>
    <w:p w14:paraId="593A503A" w14:textId="5213C9F6" w:rsidR="00607E25" w:rsidRPr="00000396" w:rsidRDefault="00607E25" w:rsidP="00000396">
      <w:pPr>
        <w:pStyle w:val="rvps2"/>
        <w:shd w:val="clear" w:color="auto" w:fill="FFFFFF"/>
        <w:tabs>
          <w:tab w:val="left" w:pos="851"/>
        </w:tabs>
        <w:spacing w:before="0" w:beforeAutospacing="0" w:after="120" w:afterAutospacing="0"/>
        <w:ind w:left="567"/>
        <w:jc w:val="both"/>
        <w:rPr>
          <w:sz w:val="28"/>
          <w:szCs w:val="28"/>
        </w:rPr>
      </w:pPr>
      <w:r w:rsidRPr="00000396">
        <w:rPr>
          <w:sz w:val="28"/>
          <w:szCs w:val="28"/>
        </w:rPr>
        <w:t xml:space="preserve">4) додаток 1 </w:t>
      </w:r>
      <w:r w:rsidR="00ED34CB">
        <w:rPr>
          <w:sz w:val="28"/>
          <w:szCs w:val="28"/>
        </w:rPr>
        <w:t>‒</w:t>
      </w:r>
      <w:r w:rsidRPr="00000396">
        <w:rPr>
          <w:sz w:val="28"/>
          <w:szCs w:val="28"/>
        </w:rPr>
        <w:t xml:space="preserve"> перелік основних напрямів для публічного інвестування;</w:t>
      </w:r>
    </w:p>
    <w:p w14:paraId="4CF3A460" w14:textId="7A4D6B66" w:rsidR="00607E25" w:rsidRDefault="00607E25" w:rsidP="00ED34CB">
      <w:pPr>
        <w:pStyle w:val="rvps2"/>
        <w:shd w:val="clear" w:color="auto" w:fill="FFFFFF"/>
        <w:tabs>
          <w:tab w:val="left" w:pos="851"/>
        </w:tabs>
        <w:spacing w:before="0" w:beforeAutospacing="0" w:after="0" w:afterAutospacing="0"/>
        <w:ind w:left="567"/>
        <w:jc w:val="both"/>
        <w:rPr>
          <w:sz w:val="28"/>
          <w:szCs w:val="28"/>
        </w:rPr>
      </w:pPr>
      <w:r w:rsidRPr="00000396">
        <w:rPr>
          <w:sz w:val="28"/>
          <w:szCs w:val="28"/>
        </w:rPr>
        <w:t xml:space="preserve">5) додаток 2 </w:t>
      </w:r>
      <w:r w:rsidR="00ED34CB">
        <w:rPr>
          <w:sz w:val="28"/>
          <w:szCs w:val="28"/>
        </w:rPr>
        <w:t>‒</w:t>
      </w:r>
      <w:r w:rsidRPr="00000396">
        <w:rPr>
          <w:sz w:val="28"/>
          <w:szCs w:val="28"/>
        </w:rPr>
        <w:t xml:space="preserve"> перелік інших напрямів, що не визначені як основні.</w:t>
      </w:r>
    </w:p>
    <w:p w14:paraId="071E2AF5" w14:textId="77777777" w:rsidR="00ED34CB" w:rsidRPr="00000396" w:rsidRDefault="00ED34CB" w:rsidP="00ED34CB">
      <w:pPr>
        <w:pStyle w:val="rvps2"/>
        <w:shd w:val="clear" w:color="auto" w:fill="FFFFFF"/>
        <w:tabs>
          <w:tab w:val="left" w:pos="851"/>
        </w:tabs>
        <w:spacing w:before="0" w:beforeAutospacing="0" w:after="0" w:afterAutospacing="0"/>
        <w:ind w:left="567"/>
        <w:jc w:val="both"/>
        <w:rPr>
          <w:sz w:val="28"/>
          <w:szCs w:val="28"/>
        </w:rPr>
      </w:pPr>
    </w:p>
    <w:p w14:paraId="44DD8301" w14:textId="3129C91D" w:rsidR="00607E25" w:rsidRDefault="00ED34CB" w:rsidP="00ED34CB">
      <w:pPr>
        <w:pStyle w:val="rvps2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ІІІ. </w:t>
      </w:r>
      <w:r w:rsidR="00607E25" w:rsidRPr="00000396">
        <w:rPr>
          <w:sz w:val="28"/>
          <w:szCs w:val="28"/>
        </w:rPr>
        <w:t>Розроблення проєкту середньострокового плану</w:t>
      </w:r>
    </w:p>
    <w:p w14:paraId="2B152FBC" w14:textId="77777777" w:rsidR="00ED34CB" w:rsidRPr="00000396" w:rsidRDefault="00ED34CB" w:rsidP="00ED34CB">
      <w:pPr>
        <w:pStyle w:val="rvps2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sz w:val="28"/>
          <w:szCs w:val="28"/>
        </w:rPr>
      </w:pPr>
    </w:p>
    <w:p w14:paraId="49CEF742" w14:textId="50AFA563" w:rsidR="00440B6F" w:rsidRDefault="00ED34CB" w:rsidP="00ED34CB">
      <w:pPr>
        <w:pStyle w:val="rvps2"/>
        <w:shd w:val="clear" w:color="auto" w:fill="FFFFFF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D34CB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440B6F" w:rsidRPr="00000396">
        <w:rPr>
          <w:sz w:val="28"/>
          <w:szCs w:val="28"/>
        </w:rPr>
        <w:t>Підготовку проєкту Середньострокового плану забезпечує департамент економіки, інвестиційної діяльності та регіональної політики обласної державної адміністрації</w:t>
      </w:r>
      <w:r w:rsidR="000665A1" w:rsidRPr="00000396">
        <w:rPr>
          <w:sz w:val="28"/>
          <w:szCs w:val="28"/>
          <w:lang w:val="en-US"/>
        </w:rPr>
        <w:t xml:space="preserve"> </w:t>
      </w:r>
      <w:r w:rsidR="000665A1" w:rsidRPr="00000396">
        <w:rPr>
          <w:sz w:val="28"/>
          <w:szCs w:val="28"/>
        </w:rPr>
        <w:t>(далі – Департамент).</w:t>
      </w:r>
    </w:p>
    <w:p w14:paraId="63E5A82C" w14:textId="77777777" w:rsidR="00ED34CB" w:rsidRPr="00000396" w:rsidRDefault="00ED34CB" w:rsidP="00ED34CB">
      <w:pPr>
        <w:pStyle w:val="rvps2"/>
        <w:shd w:val="clear" w:color="auto" w:fill="FFFFFF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538B4173" w14:textId="0E111313" w:rsidR="00E90FDE" w:rsidRPr="00000396" w:rsidRDefault="00ED34CB" w:rsidP="00ED34CB">
      <w:pPr>
        <w:pStyle w:val="rvps2"/>
        <w:shd w:val="clear" w:color="auto" w:fill="FFFFFF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660117" w:rsidRPr="00000396">
        <w:rPr>
          <w:sz w:val="28"/>
          <w:szCs w:val="28"/>
        </w:rPr>
        <w:t xml:space="preserve">Департамент </w:t>
      </w:r>
      <w:r w:rsidR="008524F8" w:rsidRPr="00000396">
        <w:rPr>
          <w:sz w:val="28"/>
          <w:szCs w:val="28"/>
        </w:rPr>
        <w:t>для підготовки про</w:t>
      </w:r>
      <w:r w:rsidR="00D90291" w:rsidRPr="00000396">
        <w:rPr>
          <w:sz w:val="28"/>
          <w:szCs w:val="28"/>
        </w:rPr>
        <w:t>є</w:t>
      </w:r>
      <w:r w:rsidR="008524F8" w:rsidRPr="00000396">
        <w:rPr>
          <w:sz w:val="28"/>
          <w:szCs w:val="28"/>
        </w:rPr>
        <w:t>кту середньострокового плану</w:t>
      </w:r>
      <w:r w:rsidR="00E90FDE" w:rsidRPr="00000396">
        <w:rPr>
          <w:sz w:val="28"/>
          <w:szCs w:val="28"/>
        </w:rPr>
        <w:t>:</w:t>
      </w:r>
    </w:p>
    <w:p w14:paraId="16081E01" w14:textId="580B9609" w:rsidR="00227981" w:rsidRPr="00000396" w:rsidRDefault="00227981" w:rsidP="00ED34CB">
      <w:pPr>
        <w:pStyle w:val="rvps2"/>
        <w:shd w:val="clear" w:color="auto" w:fill="FFFFFF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3" w:name="n23"/>
      <w:bookmarkEnd w:id="3"/>
      <w:r w:rsidRPr="00000396">
        <w:rPr>
          <w:sz w:val="28"/>
          <w:szCs w:val="28"/>
        </w:rPr>
        <w:t>використовує перелік галузей (секторів) для публічного інвестування згідно з додатком 1 постанови Кабінету Міністрів України від 28.02.2025 №</w:t>
      </w:r>
      <w:r w:rsidR="001402DF" w:rsidRPr="00000396">
        <w:rPr>
          <w:sz w:val="28"/>
          <w:szCs w:val="28"/>
        </w:rPr>
        <w:t> </w:t>
      </w:r>
      <w:r w:rsidRPr="00000396">
        <w:rPr>
          <w:sz w:val="28"/>
          <w:szCs w:val="28"/>
        </w:rPr>
        <w:t>294 «Про затвердження Порядку розроблення та моніторингу реалізації середньострокового плану пріоритетних публічних інвестицій держави»;</w:t>
      </w:r>
    </w:p>
    <w:p w14:paraId="4A0C5738" w14:textId="045635D9" w:rsidR="00227981" w:rsidRPr="00000396" w:rsidRDefault="00227981" w:rsidP="00ED34CB">
      <w:pPr>
        <w:pStyle w:val="rvps2"/>
        <w:shd w:val="clear" w:color="auto" w:fill="FFFFFF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00396">
        <w:rPr>
          <w:sz w:val="28"/>
          <w:szCs w:val="28"/>
        </w:rPr>
        <w:t xml:space="preserve">використовує перелік підсекторів галузей </w:t>
      </w:r>
      <w:r w:rsidRPr="00000396">
        <w:rPr>
          <w:rFonts w:eastAsiaTheme="majorEastAsia"/>
          <w:sz w:val="28"/>
          <w:szCs w:val="28"/>
        </w:rPr>
        <w:t>(секторів) для публічного інвестування з урахуванням рекомендацій, отриманих від Міністерства економіки, довкілля та сільського господарства України</w:t>
      </w:r>
      <w:r w:rsidR="007E6ED8" w:rsidRPr="00000396">
        <w:rPr>
          <w:rFonts w:eastAsiaTheme="majorEastAsia"/>
          <w:sz w:val="28"/>
          <w:szCs w:val="28"/>
        </w:rPr>
        <w:t xml:space="preserve"> (далі – Мінекономіки)</w:t>
      </w:r>
      <w:r w:rsidR="009F5121" w:rsidRPr="00000396">
        <w:rPr>
          <w:rFonts w:eastAsiaTheme="majorEastAsia"/>
          <w:sz w:val="28"/>
          <w:szCs w:val="28"/>
        </w:rPr>
        <w:t xml:space="preserve">, </w:t>
      </w:r>
      <w:r w:rsidR="009F5121" w:rsidRPr="00000396">
        <w:rPr>
          <w:sz w:val="28"/>
          <w:szCs w:val="28"/>
        </w:rPr>
        <w:t>і в разі потреби готує пропозиції про внесення змін до них;</w:t>
      </w:r>
    </w:p>
    <w:p w14:paraId="51F92F47" w14:textId="7B39686C" w:rsidR="008524F8" w:rsidRPr="00000396" w:rsidRDefault="008524F8" w:rsidP="00ED34CB">
      <w:pPr>
        <w:pStyle w:val="rvps2"/>
        <w:shd w:val="clear" w:color="auto" w:fill="FFFFFF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4" w:name="n24"/>
      <w:bookmarkStart w:id="5" w:name="n25"/>
      <w:bookmarkEnd w:id="4"/>
      <w:bookmarkEnd w:id="5"/>
      <w:r w:rsidRPr="00000396">
        <w:rPr>
          <w:sz w:val="28"/>
          <w:szCs w:val="28"/>
        </w:rPr>
        <w:t xml:space="preserve">формує наскрізні стратегічні цілі на середньостроковий період на основі аналізу </w:t>
      </w:r>
      <w:r w:rsidR="009962A5" w:rsidRPr="00000396">
        <w:rPr>
          <w:sz w:val="28"/>
          <w:szCs w:val="28"/>
        </w:rPr>
        <w:t xml:space="preserve">державних та регіональних </w:t>
      </w:r>
      <w:r w:rsidRPr="00000396">
        <w:rPr>
          <w:sz w:val="28"/>
          <w:szCs w:val="28"/>
        </w:rPr>
        <w:t>стратегічних документів</w:t>
      </w:r>
      <w:r w:rsidR="009962A5" w:rsidRPr="00000396">
        <w:rPr>
          <w:sz w:val="28"/>
          <w:szCs w:val="28"/>
        </w:rPr>
        <w:t>.</w:t>
      </w:r>
    </w:p>
    <w:p w14:paraId="4D614589" w14:textId="77777777" w:rsidR="00ED34CB" w:rsidRDefault="00ED34CB" w:rsidP="00ED34CB">
      <w:pPr>
        <w:pStyle w:val="rvps2"/>
        <w:shd w:val="clear" w:color="auto" w:fill="FFFFFF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6" w:name="n26"/>
      <w:bookmarkEnd w:id="6"/>
    </w:p>
    <w:p w14:paraId="4D1F3638" w14:textId="2F2C3104" w:rsidR="00E75EDD" w:rsidRPr="00000396" w:rsidRDefault="00ED34CB" w:rsidP="00ED34CB">
      <w:pPr>
        <w:pStyle w:val="rvps2"/>
        <w:shd w:val="clear" w:color="auto" w:fill="FFFFFF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6267A9" w:rsidRPr="00000396">
        <w:rPr>
          <w:sz w:val="28"/>
          <w:szCs w:val="28"/>
        </w:rPr>
        <w:t xml:space="preserve">Департамент </w:t>
      </w:r>
      <w:r w:rsidR="008524F8" w:rsidRPr="00000396">
        <w:rPr>
          <w:sz w:val="28"/>
          <w:szCs w:val="28"/>
        </w:rPr>
        <w:t xml:space="preserve">не пізніше </w:t>
      </w:r>
      <w:r w:rsidR="004C0722" w:rsidRPr="00000396">
        <w:rPr>
          <w:sz w:val="28"/>
          <w:szCs w:val="28"/>
        </w:rPr>
        <w:t>01 червня</w:t>
      </w:r>
      <w:r w:rsidR="008524F8" w:rsidRPr="00000396">
        <w:rPr>
          <w:sz w:val="28"/>
          <w:szCs w:val="28"/>
        </w:rPr>
        <w:t xml:space="preserve"> року, що передує плановому, надсилає до </w:t>
      </w:r>
      <w:r w:rsidR="00440B6F" w:rsidRPr="00000396">
        <w:rPr>
          <w:sz w:val="28"/>
          <w:szCs w:val="28"/>
        </w:rPr>
        <w:t xml:space="preserve">секторальних </w:t>
      </w:r>
      <w:r w:rsidR="006267A9" w:rsidRPr="00000396">
        <w:rPr>
          <w:sz w:val="28"/>
          <w:szCs w:val="28"/>
        </w:rPr>
        <w:t>структурних підрозділів обласної державної адміністрації</w:t>
      </w:r>
      <w:r w:rsidR="008524F8" w:rsidRPr="00000396">
        <w:rPr>
          <w:sz w:val="28"/>
          <w:szCs w:val="28"/>
        </w:rPr>
        <w:t xml:space="preserve"> запит про подання пропозицій до середньострокового плану та інструк</w:t>
      </w:r>
      <w:r w:rsidR="004C0722" w:rsidRPr="00000396">
        <w:rPr>
          <w:sz w:val="28"/>
          <w:szCs w:val="28"/>
        </w:rPr>
        <w:t>тивний лист</w:t>
      </w:r>
      <w:r w:rsidR="008524F8" w:rsidRPr="00000396">
        <w:rPr>
          <w:sz w:val="28"/>
          <w:szCs w:val="28"/>
        </w:rPr>
        <w:t xml:space="preserve"> </w:t>
      </w:r>
      <w:r w:rsidR="004C0722" w:rsidRPr="00000396">
        <w:rPr>
          <w:sz w:val="28"/>
          <w:szCs w:val="28"/>
        </w:rPr>
        <w:t>щодо</w:t>
      </w:r>
      <w:r w:rsidR="008524F8" w:rsidRPr="00000396">
        <w:rPr>
          <w:sz w:val="28"/>
          <w:szCs w:val="28"/>
        </w:rPr>
        <w:t xml:space="preserve"> формування таких пропозицій</w:t>
      </w:r>
      <w:r w:rsidR="00BC3942" w:rsidRPr="00000396">
        <w:rPr>
          <w:sz w:val="28"/>
          <w:szCs w:val="28"/>
        </w:rPr>
        <w:t>.</w:t>
      </w:r>
      <w:bookmarkStart w:id="7" w:name="n27"/>
      <w:bookmarkEnd w:id="7"/>
    </w:p>
    <w:p w14:paraId="79DD5B1B" w14:textId="77777777" w:rsidR="00ED34CB" w:rsidRDefault="00ED34CB" w:rsidP="00ED34CB">
      <w:pPr>
        <w:pStyle w:val="rvps2"/>
        <w:shd w:val="clear" w:color="auto" w:fill="FFFFFF"/>
        <w:tabs>
          <w:tab w:val="left" w:pos="851"/>
        </w:tabs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68D314FB" w14:textId="27B585DE" w:rsidR="00E75EDD" w:rsidRPr="00000396" w:rsidRDefault="00ED34CB" w:rsidP="00553DE2">
      <w:pPr>
        <w:pStyle w:val="rvps2"/>
        <w:shd w:val="clear" w:color="auto" w:fill="FFFFFF"/>
        <w:tabs>
          <w:tab w:val="left" w:pos="0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4. </w:t>
      </w:r>
      <w:r w:rsidR="00E75EDD" w:rsidRPr="00000396">
        <w:rPr>
          <w:color w:val="000000"/>
          <w:sz w:val="28"/>
          <w:szCs w:val="28"/>
        </w:rPr>
        <w:t>Секторальним структурним підрозділам при підготовці пропозицій до середньострокового плану рекомендовано:</w:t>
      </w:r>
    </w:p>
    <w:p w14:paraId="33461B57" w14:textId="5719B53B" w:rsidR="00E75EDD" w:rsidRPr="00000396" w:rsidRDefault="00E75EDD" w:rsidP="00613BAA">
      <w:pPr>
        <w:pStyle w:val="rvps2"/>
        <w:shd w:val="clear" w:color="auto" w:fill="FFFFFF"/>
        <w:tabs>
          <w:tab w:val="left" w:pos="0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00396">
        <w:rPr>
          <w:color w:val="000000"/>
          <w:sz w:val="28"/>
          <w:szCs w:val="28"/>
        </w:rPr>
        <w:t xml:space="preserve">визначити підсектори в </w:t>
      </w:r>
      <w:r w:rsidR="00613BAA">
        <w:rPr>
          <w:color w:val="000000"/>
          <w:sz w:val="28"/>
          <w:szCs w:val="28"/>
        </w:rPr>
        <w:t>межах</w:t>
      </w:r>
      <w:r w:rsidRPr="00000396">
        <w:rPr>
          <w:color w:val="000000"/>
          <w:sz w:val="28"/>
          <w:szCs w:val="28"/>
        </w:rPr>
        <w:t xml:space="preserve"> галузі (сектору) для публічного інвестування;</w:t>
      </w:r>
    </w:p>
    <w:p w14:paraId="38846BD8" w14:textId="77777777" w:rsidR="00E75EDD" w:rsidRPr="00000396" w:rsidRDefault="00E75EDD" w:rsidP="00613BAA">
      <w:pPr>
        <w:pStyle w:val="rvps2"/>
        <w:shd w:val="clear" w:color="auto" w:fill="FFFFFF"/>
        <w:tabs>
          <w:tab w:val="left" w:pos="0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00396">
        <w:rPr>
          <w:color w:val="000000"/>
          <w:sz w:val="28"/>
          <w:szCs w:val="28"/>
        </w:rPr>
        <w:t>визначити напрями публічного інвестування у відповідних підсекторах галузі (сектору), які мають узгоджуватись із завданнями регіональної стратегії розвитку;</w:t>
      </w:r>
    </w:p>
    <w:p w14:paraId="09B69E35" w14:textId="77777777" w:rsidR="00E75EDD" w:rsidRPr="00000396" w:rsidRDefault="00E75EDD" w:rsidP="00613BAA">
      <w:pPr>
        <w:pStyle w:val="rvps2"/>
        <w:shd w:val="clear" w:color="auto" w:fill="FFFFFF"/>
        <w:tabs>
          <w:tab w:val="left" w:pos="0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00396">
        <w:rPr>
          <w:color w:val="000000"/>
          <w:sz w:val="28"/>
          <w:szCs w:val="28"/>
        </w:rPr>
        <w:t>пріоритезувати обрані напрями визначивши основні, які є критично важливими та потребують першочергового фінансування;</w:t>
      </w:r>
    </w:p>
    <w:p w14:paraId="35BE62E2" w14:textId="77777777" w:rsidR="00E75EDD" w:rsidRPr="00000396" w:rsidRDefault="00E75EDD" w:rsidP="00613BAA">
      <w:pPr>
        <w:pStyle w:val="rvps2"/>
        <w:shd w:val="clear" w:color="auto" w:fill="FFFFFF"/>
        <w:tabs>
          <w:tab w:val="left" w:pos="0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00396">
        <w:rPr>
          <w:color w:val="000000"/>
          <w:sz w:val="28"/>
          <w:szCs w:val="28"/>
        </w:rPr>
        <w:t>визначити цільові показники кожного напряму публічного інвестування та їх планові значення, які передбачається досягнути. Такі показники визначаються з урахуванням наскрізних стратегічних цілей і мають бути узгоджені із показниками виконання завдань, визначених регіональною стратегією розвитку;</w:t>
      </w:r>
    </w:p>
    <w:p w14:paraId="0F1CC62F" w14:textId="21E3A85B" w:rsidR="00E75EDD" w:rsidRPr="00000396" w:rsidRDefault="00E75EDD" w:rsidP="00613BAA">
      <w:pPr>
        <w:pStyle w:val="rvps2"/>
        <w:shd w:val="clear" w:color="auto" w:fill="FFFFFF"/>
        <w:tabs>
          <w:tab w:val="left" w:pos="0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00396">
        <w:rPr>
          <w:color w:val="000000"/>
          <w:sz w:val="28"/>
          <w:szCs w:val="28"/>
        </w:rPr>
        <w:t>визначити орієнтовну фінансову потребу для здійснення публічних інвестицій на період, необхідний для реалізації обраного напряму, шляхом проведення розрахунків, що обґрунтовують таку потребу.</w:t>
      </w:r>
    </w:p>
    <w:p w14:paraId="257EC859" w14:textId="0E5A19DB" w:rsidR="00E41830" w:rsidRPr="00000396" w:rsidRDefault="00ED34CB" w:rsidP="00ED34CB">
      <w:pPr>
        <w:pStyle w:val="a9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lastRenderedPageBreak/>
        <w:t>5. </w:t>
      </w:r>
      <w:r w:rsidR="00E75EDD" w:rsidRPr="0000039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Під час підготовки пропозиції до </w:t>
      </w:r>
      <w:r w:rsidR="00613BA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с</w:t>
      </w:r>
      <w:r w:rsidR="00E75EDD" w:rsidRPr="0000039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ередньострокового плану секторальним структурним підрозділам рекомендовано проводити консультації та отримувати в установленому законодавством порядку інформацію, документи і матеріали від </w:t>
      </w:r>
      <w:r w:rsidR="00E75EDD" w:rsidRPr="00B2578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заінтересованих </w:t>
      </w:r>
      <w:r w:rsidR="00B25786" w:rsidRPr="00B2578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районних</w:t>
      </w:r>
      <w:r w:rsidR="00E75EDD" w:rsidRPr="00B2578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державних</w:t>
      </w:r>
      <w:r w:rsidR="00E75EDD" w:rsidRPr="0000039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адміністрацій, органів місцевого самоврядування, підприємств, установ та організацій, що належать до сфери їх управління.</w:t>
      </w:r>
    </w:p>
    <w:p w14:paraId="7472DCE8" w14:textId="77777777" w:rsidR="00ED34CB" w:rsidRDefault="00ED34CB" w:rsidP="00ED34CB">
      <w:pPr>
        <w:pStyle w:val="a9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</w:p>
    <w:p w14:paraId="7A80647E" w14:textId="01ACDB7E" w:rsidR="00E41830" w:rsidRPr="00000396" w:rsidRDefault="00ED34CB" w:rsidP="00ED34CB">
      <w:pPr>
        <w:pStyle w:val="a9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6. </w:t>
      </w:r>
      <w:r w:rsidR="00E75EDD" w:rsidRPr="0000039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Секторальні структурні підрозділи у місячний строк з дня отримання запиту забезпечують складання пропозицій до середньострокового плану за запропонованою формою </w:t>
      </w:r>
      <w:r w:rsidR="00BB33C6" w:rsidRPr="0000039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(</w:t>
      </w:r>
      <w:r w:rsidR="00613BA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д</w:t>
      </w:r>
      <w:r w:rsidR="00BB33C6" w:rsidRPr="0000039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одаток 3) </w:t>
      </w:r>
      <w:r w:rsidR="00E75EDD" w:rsidRPr="0000039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і подають їх </w:t>
      </w:r>
      <w:r w:rsidR="00860E09" w:rsidRPr="0000039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Д</w:t>
      </w:r>
      <w:r w:rsidR="00544F6B" w:rsidRPr="0000039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епартамент</w:t>
      </w:r>
      <w:r w:rsidR="00613BA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ові</w:t>
      </w:r>
      <w:r w:rsidR="00E75EDD" w:rsidRPr="0000039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.</w:t>
      </w:r>
    </w:p>
    <w:p w14:paraId="6DBF9E4F" w14:textId="77777777" w:rsidR="00ED34CB" w:rsidRDefault="00ED34CB" w:rsidP="00ED34CB">
      <w:pPr>
        <w:pStyle w:val="a9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</w:p>
    <w:p w14:paraId="339713A3" w14:textId="759199A1" w:rsidR="00E41830" w:rsidRPr="00000396" w:rsidRDefault="00ED34CB" w:rsidP="00ED34CB">
      <w:pPr>
        <w:pStyle w:val="a9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7. </w:t>
      </w:r>
      <w:r w:rsidR="00544F6B" w:rsidRPr="0000039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Департамент </w:t>
      </w:r>
      <w:r w:rsidR="00E75EDD" w:rsidRPr="0000039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здійснює аналіз та узагальнення пропозицій до середньострокового плану, поданих секторальними структурними підрозділами.</w:t>
      </w:r>
    </w:p>
    <w:p w14:paraId="28BEB3E8" w14:textId="77777777" w:rsidR="00ED34CB" w:rsidRDefault="00ED34CB" w:rsidP="00ED34CB">
      <w:pPr>
        <w:pStyle w:val="a9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</w:p>
    <w:p w14:paraId="34420BF8" w14:textId="0B6B749E" w:rsidR="00E41830" w:rsidRPr="00000396" w:rsidRDefault="00ED34CB" w:rsidP="00ED34CB">
      <w:pPr>
        <w:pStyle w:val="a9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8. </w:t>
      </w:r>
      <w:r w:rsidR="00E75EDD" w:rsidRPr="0000039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У разі виявлення за результатами аналізу невідповідності пропозиції до середньострокового плану вимогам інструктивного листа </w:t>
      </w:r>
      <w:r w:rsidR="00860E09" w:rsidRPr="0000039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Д</w:t>
      </w:r>
      <w:r w:rsidR="00544F6B" w:rsidRPr="0000039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епартамент </w:t>
      </w:r>
      <w:r w:rsidR="00E75EDD" w:rsidRPr="0000039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протягом п</w:t>
      </w:r>
      <w:r w:rsidR="00613BA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’</w:t>
      </w:r>
      <w:r w:rsidR="00E75EDD" w:rsidRPr="0000039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яти робочих днів з моменту отримання такої пропозиції повертає її для доопрацювання секторальному структурному підрозділу з наданням відповідних обґрунтувань.</w:t>
      </w:r>
    </w:p>
    <w:p w14:paraId="6020FA0A" w14:textId="77777777" w:rsidR="00ED34CB" w:rsidRDefault="00ED34CB" w:rsidP="00ED34CB">
      <w:pPr>
        <w:pStyle w:val="a9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542E919" w14:textId="33B8EB84" w:rsidR="00E75EDD" w:rsidRPr="00000396" w:rsidRDefault="00ED34CB" w:rsidP="00ED34CB">
      <w:pPr>
        <w:pStyle w:val="a9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9. </w:t>
      </w:r>
      <w:r w:rsidR="00E75EDD" w:rsidRPr="00000396">
        <w:rPr>
          <w:rFonts w:ascii="Times New Roman" w:hAnsi="Times New Roman" w:cs="Times New Roman"/>
          <w:color w:val="000000"/>
          <w:sz w:val="28"/>
          <w:szCs w:val="28"/>
        </w:rPr>
        <w:t xml:space="preserve">Секторальний структурний підрозділ, протягом п’яти робочих днів з моменту отримання зауважень, забезпечує доопрацювання пропозиції до середньострокового плану та повторне її подання </w:t>
      </w:r>
      <w:r w:rsidR="00860E09" w:rsidRPr="0000039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Д</w:t>
      </w:r>
      <w:r w:rsidR="00544F6B" w:rsidRPr="0000039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епартамент</w:t>
      </w:r>
      <w:r w:rsidR="00613BA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ові</w:t>
      </w:r>
      <w:r w:rsidR="00E75EDD" w:rsidRPr="0000039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C7C66DB" w14:textId="40B231AE" w:rsidR="00544F6B" w:rsidRPr="00000396" w:rsidRDefault="00544F6B" w:rsidP="00ED34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00039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У разі </w:t>
      </w:r>
      <w:r w:rsidR="00613BA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потреби </w:t>
      </w:r>
      <w:r w:rsidR="00860E09" w:rsidRPr="0000039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Д</w:t>
      </w:r>
      <w:r w:rsidRPr="0000039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епартамент проводить консультації із секторальними структурними підрозділами, для узгодження позицій щодо пропозицій до середньострокового плану.</w:t>
      </w:r>
    </w:p>
    <w:p w14:paraId="6929D0D1" w14:textId="77777777" w:rsidR="00ED34CB" w:rsidRDefault="00ED34CB" w:rsidP="00ED34CB">
      <w:pPr>
        <w:pStyle w:val="a9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</w:p>
    <w:p w14:paraId="6C179283" w14:textId="6C252C85" w:rsidR="00544F6B" w:rsidRPr="00000396" w:rsidRDefault="00ED34CB" w:rsidP="00ED34CB">
      <w:pPr>
        <w:pStyle w:val="a9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10. </w:t>
      </w:r>
      <w:r w:rsidR="00544F6B" w:rsidRPr="0000039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За результатами розгляду пропозицій до середньострокового плану </w:t>
      </w:r>
      <w:r w:rsidR="00860E09" w:rsidRPr="0000039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Д</w:t>
      </w:r>
      <w:r w:rsidR="00544F6B" w:rsidRPr="0000039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епартамент готує проєкт середньострокового плану та формує пропозиції щодо попереднього розподілу орієнтовного граничного сукупного обсягу публічних інвестицій області, доведеного департаментом фінансів обласної державної адміністрації, за основними напрямами публічного інвестування в розрізі галузей (секторів) для публічного інвестування.</w:t>
      </w:r>
    </w:p>
    <w:p w14:paraId="5F5C96E3" w14:textId="0F28C6B7" w:rsidR="00544F6B" w:rsidRPr="00000396" w:rsidRDefault="00544F6B" w:rsidP="00ED34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00039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Під час формування пропозицій щодо попереднього розподілу орієнтовного граничного сукупного обсягу публічних інвестицій </w:t>
      </w:r>
      <w:r w:rsidR="00860E09" w:rsidRPr="0000039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Д</w:t>
      </w:r>
      <w:r w:rsidR="004835D7" w:rsidRPr="0000039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епартамент </w:t>
      </w:r>
      <w:r w:rsidRPr="0000039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проводить консультації (наради) за участю </w:t>
      </w:r>
      <w:r w:rsidR="004835D7" w:rsidRPr="0000039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департаменту фінансів обласної державної адміністрації</w:t>
      </w:r>
      <w:r w:rsidRPr="0000039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та головних розпорядників коштів для узгодження позицій щодо обсягу коштів для кожної галузі (сектору).</w:t>
      </w:r>
    </w:p>
    <w:p w14:paraId="2BC4FFCE" w14:textId="77777777" w:rsidR="00ED34CB" w:rsidRDefault="00ED34CB" w:rsidP="00ED34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</w:p>
    <w:p w14:paraId="7E15607F" w14:textId="43BD9BAC" w:rsidR="00544F6B" w:rsidRPr="00000396" w:rsidRDefault="00544F6B" w:rsidP="00ED34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00039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11. </w:t>
      </w:r>
      <w:r w:rsidR="004835D7" w:rsidRPr="0000039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Департамент </w:t>
      </w:r>
      <w:r w:rsidRPr="0000039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подає сформований проєкт середньострокового плану із пропозиціями щодо визначення основних напрямів публічного інвестування та орієнтовним розподілом коштів </w:t>
      </w:r>
      <w:r w:rsidR="00613BA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у</w:t>
      </w:r>
      <w:r w:rsidRPr="0000039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розрізі галузей (секторів) на схвалення </w:t>
      </w:r>
      <w:r w:rsidR="00625BC2" w:rsidRPr="0000039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Регіональні</w:t>
      </w:r>
      <w:r w:rsidRPr="0000039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й інвестиційній раді</w:t>
      </w:r>
      <w:r w:rsidR="00625BC2" w:rsidRPr="0000039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Волинської області</w:t>
      </w:r>
      <w:r w:rsidRPr="0000039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.</w:t>
      </w:r>
    </w:p>
    <w:p w14:paraId="2B59219B" w14:textId="77777777" w:rsidR="00613BAA" w:rsidRDefault="00613BAA" w:rsidP="00ED34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</w:p>
    <w:p w14:paraId="1523E6C5" w14:textId="52A8B5D5" w:rsidR="00544F6B" w:rsidRPr="00B25786" w:rsidRDefault="00544F6B" w:rsidP="00ED34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00039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lastRenderedPageBreak/>
        <w:t>12.</w:t>
      </w:r>
      <w:r w:rsidR="00031B0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 </w:t>
      </w:r>
      <w:r w:rsidR="00625BC2" w:rsidRPr="0000039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Департамент </w:t>
      </w:r>
      <w:r w:rsidRPr="0000039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подає </w:t>
      </w:r>
      <w:r w:rsidR="00625BC2" w:rsidRPr="0000039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департаменту фінансів обласної державної адміністрації</w:t>
      </w:r>
      <w:r w:rsidRPr="0000039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схвалений </w:t>
      </w:r>
      <w:r w:rsidR="00625BC2" w:rsidRPr="00B2578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Регіональн</w:t>
      </w:r>
      <w:r w:rsidRPr="00B2578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ою інвестиційною радою </w:t>
      </w:r>
      <w:r w:rsidR="00625BC2" w:rsidRPr="00B2578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Волинської області </w:t>
      </w:r>
      <w:r w:rsidRPr="00B2578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проєкт середньострокового плану не пізніше 01 серпня року, що передує плановому.</w:t>
      </w:r>
    </w:p>
    <w:p w14:paraId="0287B8B8" w14:textId="77777777" w:rsidR="00ED34CB" w:rsidRPr="00B25786" w:rsidRDefault="00ED34CB" w:rsidP="00ED34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16"/>
          <w:szCs w:val="16"/>
          <w:lang w:eastAsia="uk-UA"/>
          <w14:ligatures w14:val="none"/>
        </w:rPr>
      </w:pPr>
    </w:p>
    <w:p w14:paraId="1D58C625" w14:textId="5216CF00" w:rsidR="00544F6B" w:rsidRPr="00000396" w:rsidRDefault="00544F6B" w:rsidP="00ED34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B2578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13. </w:t>
      </w:r>
      <w:r w:rsidR="00625BC2" w:rsidRPr="00B2578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Департамент фінансів обласної державної адміністрації </w:t>
      </w:r>
      <w:r w:rsidRPr="00B2578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подає проєкт середньострокового плану, схвалений </w:t>
      </w:r>
      <w:r w:rsidR="00B25786" w:rsidRPr="00B2578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Регіональною інвестиційною радою Волинської області</w:t>
      </w:r>
      <w:r w:rsidRPr="00B2578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, на затвердження </w:t>
      </w:r>
      <w:r w:rsidR="00884D50" w:rsidRPr="00B25786">
        <w:rPr>
          <w:rFonts w:ascii="Times New Roman" w:hAnsi="Times New Roman" w:cs="Times New Roman"/>
          <w:sz w:val="28"/>
          <w:szCs w:val="28"/>
        </w:rPr>
        <w:t xml:space="preserve">голові (начальнику) обласної державної (військової) </w:t>
      </w:r>
      <w:r w:rsidRPr="00B2578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одночасно із схваленням прогнозу місцевого</w:t>
      </w:r>
      <w:r w:rsidRPr="0000039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бюджету.</w:t>
      </w:r>
    </w:p>
    <w:p w14:paraId="0F56F83C" w14:textId="77777777" w:rsidR="00ED34CB" w:rsidRDefault="00ED34CB" w:rsidP="0000039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</w:p>
    <w:p w14:paraId="71B64438" w14:textId="036B9D9F" w:rsidR="00544F6B" w:rsidRDefault="006755DA" w:rsidP="0000039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  <w:r w:rsidRPr="0000039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І</w:t>
      </w:r>
      <w:r w:rsidRPr="0000039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 w:eastAsia="uk-UA"/>
          <w14:ligatures w14:val="none"/>
        </w:rPr>
        <w:t>V</w:t>
      </w:r>
      <w:r w:rsidR="00544F6B" w:rsidRPr="0000039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. Моніторинг середньострокового плану</w:t>
      </w:r>
    </w:p>
    <w:p w14:paraId="528A9B7A" w14:textId="77777777" w:rsidR="00613BAA" w:rsidRPr="00000396" w:rsidRDefault="00613BAA" w:rsidP="0000039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</w:p>
    <w:p w14:paraId="192A74E8" w14:textId="2E87B79C" w:rsidR="00613BAA" w:rsidRPr="00613BAA" w:rsidRDefault="00613BAA" w:rsidP="00553DE2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613BA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1.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</w:t>
      </w:r>
      <w:r w:rsidR="00544F6B" w:rsidRPr="00613BA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Моніторинг реалізації середньострокового плану проводиться обласною державною (військовою) адміністрацією щопівроку на підставі</w:t>
      </w:r>
      <w:r w:rsidR="003D0C6D" w:rsidRPr="00613BA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</w:t>
      </w:r>
      <w:r w:rsidR="003D0C6D" w:rsidRPr="00613BAA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інформації секторальних структурних підрозділів, відповідальних за галузі (сектори) для публічного інвестування.</w:t>
      </w:r>
    </w:p>
    <w:p w14:paraId="7E823D61" w14:textId="4377BBEC" w:rsidR="003D0C6D" w:rsidRDefault="003D0C6D" w:rsidP="00553DE2">
      <w:pPr>
        <w:pStyle w:val="rvps2"/>
        <w:shd w:val="clear" w:color="auto" w:fill="FFFFFF"/>
        <w:tabs>
          <w:tab w:val="left" w:pos="851"/>
        </w:tabs>
        <w:spacing w:before="0" w:beforeAutospacing="0" w:after="160" w:afterAutospacing="0"/>
        <w:ind w:firstLine="567"/>
        <w:jc w:val="both"/>
        <w:rPr>
          <w:sz w:val="28"/>
          <w:szCs w:val="28"/>
        </w:rPr>
      </w:pPr>
      <w:r w:rsidRPr="00000396">
        <w:rPr>
          <w:sz w:val="28"/>
          <w:szCs w:val="28"/>
        </w:rPr>
        <w:t>2.</w:t>
      </w:r>
      <w:r w:rsidR="00553DE2">
        <w:rPr>
          <w:sz w:val="28"/>
          <w:szCs w:val="28"/>
        </w:rPr>
        <w:t> </w:t>
      </w:r>
      <w:r w:rsidRPr="00000396">
        <w:rPr>
          <w:sz w:val="28"/>
          <w:szCs w:val="28"/>
        </w:rPr>
        <w:t>Моніторинг реалізації середньострокового плану проводиться шляхом порівняння та аналізу відхилення фактично отриманих значень цільових показників від їх планових значень, визначених середньостроковим планом.</w:t>
      </w:r>
    </w:p>
    <w:p w14:paraId="6579B643" w14:textId="2C466726" w:rsidR="003D0C6D" w:rsidRPr="00000396" w:rsidRDefault="003D0C6D" w:rsidP="00553DE2">
      <w:pPr>
        <w:pStyle w:val="rvps2"/>
        <w:shd w:val="clear" w:color="auto" w:fill="FFFFFF"/>
        <w:tabs>
          <w:tab w:val="left" w:pos="851"/>
        </w:tabs>
        <w:spacing w:before="0" w:beforeAutospacing="0" w:after="160" w:afterAutospacing="0"/>
        <w:ind w:firstLine="567"/>
        <w:jc w:val="both"/>
        <w:rPr>
          <w:sz w:val="28"/>
          <w:szCs w:val="28"/>
        </w:rPr>
      </w:pPr>
      <w:r w:rsidRPr="00000396">
        <w:rPr>
          <w:sz w:val="28"/>
          <w:szCs w:val="28"/>
        </w:rPr>
        <w:t>3.</w:t>
      </w:r>
      <w:r w:rsidR="00553DE2">
        <w:rPr>
          <w:sz w:val="28"/>
          <w:szCs w:val="28"/>
        </w:rPr>
        <w:t> </w:t>
      </w:r>
      <w:r w:rsidRPr="00000396">
        <w:rPr>
          <w:sz w:val="28"/>
          <w:szCs w:val="28"/>
        </w:rPr>
        <w:t xml:space="preserve">Секторальні структурні підрозділи аналізують рівень досягнення цільових показників результатів реалізації пріоритетних напрямів публічного інвестування за відповідний період і готують моніторинговий звіт, який подають </w:t>
      </w:r>
      <w:r w:rsidR="00860E09" w:rsidRPr="00000396">
        <w:rPr>
          <w:sz w:val="28"/>
          <w:szCs w:val="28"/>
        </w:rPr>
        <w:t>Д</w:t>
      </w:r>
      <w:r w:rsidRPr="00000396">
        <w:rPr>
          <w:sz w:val="28"/>
          <w:szCs w:val="28"/>
        </w:rPr>
        <w:t>епартаменту.</w:t>
      </w:r>
    </w:p>
    <w:p w14:paraId="09520448" w14:textId="0A35704B" w:rsidR="003D0C6D" w:rsidRDefault="003D0C6D" w:rsidP="00553DE2">
      <w:pPr>
        <w:pStyle w:val="rvps2"/>
        <w:shd w:val="clear" w:color="auto" w:fill="FFFFFF"/>
        <w:tabs>
          <w:tab w:val="left" w:pos="851"/>
        </w:tabs>
        <w:spacing w:before="0" w:beforeAutospacing="0" w:after="160" w:afterAutospacing="0"/>
        <w:ind w:firstLine="567"/>
        <w:jc w:val="both"/>
        <w:rPr>
          <w:sz w:val="28"/>
          <w:szCs w:val="28"/>
        </w:rPr>
      </w:pPr>
      <w:r w:rsidRPr="00000396">
        <w:rPr>
          <w:sz w:val="28"/>
          <w:szCs w:val="28"/>
        </w:rPr>
        <w:t xml:space="preserve">Рекомендовану форму моніторингового звіту наведено у додатку </w:t>
      </w:r>
      <w:r w:rsidR="00BB33C6" w:rsidRPr="00000396">
        <w:rPr>
          <w:sz w:val="28"/>
          <w:szCs w:val="28"/>
        </w:rPr>
        <w:t>4</w:t>
      </w:r>
      <w:r w:rsidRPr="00000396">
        <w:rPr>
          <w:sz w:val="28"/>
          <w:szCs w:val="28"/>
        </w:rPr>
        <w:t xml:space="preserve"> до цього Порядку.</w:t>
      </w:r>
    </w:p>
    <w:p w14:paraId="2A7AECC3" w14:textId="77FB7413" w:rsidR="003D0C6D" w:rsidRPr="00000396" w:rsidRDefault="003D0C6D" w:rsidP="00553DE2">
      <w:pPr>
        <w:pStyle w:val="rvps2"/>
        <w:shd w:val="clear" w:color="auto" w:fill="FFFFFF"/>
        <w:tabs>
          <w:tab w:val="left" w:pos="851"/>
        </w:tabs>
        <w:spacing w:before="0" w:beforeAutospacing="0" w:after="160" w:afterAutospacing="0"/>
        <w:ind w:firstLine="567"/>
        <w:jc w:val="both"/>
        <w:rPr>
          <w:sz w:val="28"/>
          <w:szCs w:val="28"/>
        </w:rPr>
      </w:pPr>
      <w:r w:rsidRPr="00000396">
        <w:rPr>
          <w:sz w:val="28"/>
          <w:szCs w:val="28"/>
        </w:rPr>
        <w:t>4.</w:t>
      </w:r>
      <w:r w:rsidR="00553DE2">
        <w:rPr>
          <w:sz w:val="28"/>
          <w:szCs w:val="28"/>
        </w:rPr>
        <w:t> </w:t>
      </w:r>
      <w:r w:rsidRPr="00000396">
        <w:rPr>
          <w:sz w:val="28"/>
          <w:szCs w:val="28"/>
        </w:rPr>
        <w:t xml:space="preserve">Департамент за результатами аналізу моніторингових звітів, поданих секторальними структурними підрозділами, формує зведений моніторинговий звіт, до якого за </w:t>
      </w:r>
      <w:r w:rsidR="00553DE2">
        <w:rPr>
          <w:sz w:val="28"/>
          <w:szCs w:val="28"/>
        </w:rPr>
        <w:t>потреби</w:t>
      </w:r>
      <w:r w:rsidRPr="00000396">
        <w:rPr>
          <w:sz w:val="28"/>
          <w:szCs w:val="28"/>
        </w:rPr>
        <w:t xml:space="preserve"> може бути додано висновки, рекомендації чи зауваження щодо результатів виконання середньострокового плану.</w:t>
      </w:r>
    </w:p>
    <w:p w14:paraId="48D9CDEE" w14:textId="449305B2" w:rsidR="003D0C6D" w:rsidRPr="00B25786" w:rsidRDefault="003D0C6D" w:rsidP="00553DE2">
      <w:pPr>
        <w:pStyle w:val="rvps2"/>
        <w:shd w:val="clear" w:color="auto" w:fill="FFFFFF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25786">
        <w:rPr>
          <w:sz w:val="28"/>
          <w:szCs w:val="28"/>
        </w:rPr>
        <w:t>5. Департамент подає зведений моніторинговий звіт на розгляд і схвалення Регіональної інвестиційної ради</w:t>
      </w:r>
      <w:r w:rsidR="00264289" w:rsidRPr="00B25786">
        <w:rPr>
          <w:sz w:val="28"/>
          <w:szCs w:val="28"/>
        </w:rPr>
        <w:t xml:space="preserve"> Волинської області</w:t>
      </w:r>
      <w:r w:rsidRPr="00B25786">
        <w:rPr>
          <w:sz w:val="28"/>
          <w:szCs w:val="28"/>
        </w:rPr>
        <w:t>.</w:t>
      </w:r>
    </w:p>
    <w:p w14:paraId="66BDFC2D" w14:textId="6F891F61" w:rsidR="003D0C6D" w:rsidRPr="00000396" w:rsidRDefault="003D0C6D" w:rsidP="00553DE2">
      <w:pPr>
        <w:pStyle w:val="rvps2"/>
        <w:shd w:val="clear" w:color="auto" w:fill="FFFFFF"/>
        <w:tabs>
          <w:tab w:val="left" w:pos="851"/>
        </w:tabs>
        <w:spacing w:before="0" w:beforeAutospacing="0" w:after="160" w:afterAutospacing="0"/>
        <w:ind w:firstLine="567"/>
        <w:jc w:val="both"/>
        <w:rPr>
          <w:sz w:val="28"/>
          <w:szCs w:val="28"/>
        </w:rPr>
      </w:pPr>
      <w:r w:rsidRPr="00B25786">
        <w:rPr>
          <w:sz w:val="28"/>
          <w:szCs w:val="28"/>
        </w:rPr>
        <w:t>У разі</w:t>
      </w:r>
      <w:r w:rsidR="00FB502E" w:rsidRPr="00B25786">
        <w:rPr>
          <w:sz w:val="28"/>
          <w:szCs w:val="28"/>
        </w:rPr>
        <w:t xml:space="preserve"> </w:t>
      </w:r>
      <w:r w:rsidR="00553DE2" w:rsidRPr="00B25786">
        <w:rPr>
          <w:sz w:val="28"/>
          <w:szCs w:val="28"/>
        </w:rPr>
        <w:t>потреби</w:t>
      </w:r>
      <w:r w:rsidRPr="00B25786">
        <w:rPr>
          <w:sz w:val="28"/>
          <w:szCs w:val="28"/>
        </w:rPr>
        <w:t xml:space="preserve"> </w:t>
      </w:r>
      <w:r w:rsidR="00264289" w:rsidRPr="00B25786">
        <w:rPr>
          <w:sz w:val="28"/>
          <w:szCs w:val="28"/>
        </w:rPr>
        <w:t>Регіональна</w:t>
      </w:r>
      <w:r w:rsidRPr="00B25786">
        <w:rPr>
          <w:sz w:val="28"/>
          <w:szCs w:val="28"/>
        </w:rPr>
        <w:t xml:space="preserve"> інвестиційна рада </w:t>
      </w:r>
      <w:r w:rsidR="00264289" w:rsidRPr="00B25786">
        <w:rPr>
          <w:sz w:val="28"/>
          <w:szCs w:val="28"/>
        </w:rPr>
        <w:t xml:space="preserve">Волинської області </w:t>
      </w:r>
      <w:r w:rsidRPr="00B25786">
        <w:rPr>
          <w:sz w:val="28"/>
          <w:szCs w:val="28"/>
        </w:rPr>
        <w:t>за результатами розгляду зведеного моніторингового</w:t>
      </w:r>
      <w:r w:rsidRPr="00000396">
        <w:rPr>
          <w:sz w:val="28"/>
          <w:szCs w:val="28"/>
        </w:rPr>
        <w:t xml:space="preserve"> звіту подає </w:t>
      </w:r>
      <w:r w:rsidR="00264289" w:rsidRPr="00000396">
        <w:rPr>
          <w:sz w:val="28"/>
          <w:szCs w:val="28"/>
        </w:rPr>
        <w:t xml:space="preserve">обласній </w:t>
      </w:r>
      <w:r w:rsidRPr="00000396">
        <w:rPr>
          <w:sz w:val="28"/>
          <w:szCs w:val="28"/>
        </w:rPr>
        <w:t>державній адміністрації пропозиції щодо розв’язання проблем, виявлених під час проведення моніторингу реалізації середньострокового плану.</w:t>
      </w:r>
    </w:p>
    <w:p w14:paraId="21802696" w14:textId="6F56C9D0" w:rsidR="003D0C6D" w:rsidRPr="00000396" w:rsidRDefault="003D0C6D" w:rsidP="00553DE2">
      <w:pPr>
        <w:pStyle w:val="rvps2"/>
        <w:shd w:val="clear" w:color="auto" w:fill="FFFFFF"/>
        <w:tabs>
          <w:tab w:val="left" w:pos="851"/>
        </w:tabs>
        <w:spacing w:before="0" w:beforeAutospacing="0" w:after="160" w:afterAutospacing="0"/>
        <w:ind w:firstLine="567"/>
        <w:jc w:val="both"/>
        <w:rPr>
          <w:sz w:val="28"/>
          <w:szCs w:val="28"/>
        </w:rPr>
      </w:pPr>
      <w:r w:rsidRPr="00000396">
        <w:rPr>
          <w:sz w:val="28"/>
          <w:szCs w:val="28"/>
        </w:rPr>
        <w:t>6.</w:t>
      </w:r>
      <w:r w:rsidR="00553DE2">
        <w:rPr>
          <w:sz w:val="28"/>
          <w:szCs w:val="28"/>
        </w:rPr>
        <w:t> </w:t>
      </w:r>
      <w:r w:rsidRPr="00000396">
        <w:rPr>
          <w:sz w:val="28"/>
          <w:szCs w:val="28"/>
        </w:rPr>
        <w:t>Моніторинг реалізації середньострокового плану проводиться із використанням Єдиної інформаційної системи.</w:t>
      </w:r>
    </w:p>
    <w:p w14:paraId="06D966F3" w14:textId="7C85CE31" w:rsidR="00E75EDD" w:rsidRPr="00000396" w:rsidRDefault="003D0C6D" w:rsidP="00000396">
      <w:pPr>
        <w:pStyle w:val="rvps2"/>
        <w:shd w:val="clear" w:color="auto" w:fill="FFFFFF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00396">
        <w:rPr>
          <w:sz w:val="28"/>
          <w:szCs w:val="28"/>
        </w:rPr>
        <w:t>7.</w:t>
      </w:r>
      <w:r w:rsidR="00553DE2">
        <w:rPr>
          <w:sz w:val="28"/>
          <w:szCs w:val="28"/>
        </w:rPr>
        <w:t> </w:t>
      </w:r>
      <w:r w:rsidRPr="00000396">
        <w:rPr>
          <w:sz w:val="28"/>
          <w:szCs w:val="28"/>
        </w:rPr>
        <w:t>Результати моніторингу реалізації середньострокового плану рекомендовано враховувати під час розроблення середньострокового плану на наступний період.</w:t>
      </w:r>
    </w:p>
    <w:p w14:paraId="732EE37D" w14:textId="7833F61C" w:rsidR="005C0402" w:rsidRPr="00D230AE" w:rsidRDefault="005C0402" w:rsidP="005C0402">
      <w:pPr>
        <w:pStyle w:val="rvps2"/>
        <w:shd w:val="clear" w:color="auto" w:fill="FFFFFF"/>
        <w:tabs>
          <w:tab w:val="left" w:pos="993"/>
        </w:tabs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___________________________________</w:t>
      </w:r>
    </w:p>
    <w:sectPr w:rsidR="005C0402" w:rsidRPr="00D230AE" w:rsidSect="00000396">
      <w:headerReference w:type="default" r:id="rId8"/>
      <w:headerReference w:type="first" r:id="rId9"/>
      <w:pgSz w:w="11906" w:h="16838" w:code="9"/>
      <w:pgMar w:top="1134" w:right="567" w:bottom="1134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73FEF6" w14:textId="77777777" w:rsidR="00B276D1" w:rsidRDefault="00B276D1" w:rsidP="00E90CE1">
      <w:pPr>
        <w:spacing w:after="0" w:line="240" w:lineRule="auto"/>
      </w:pPr>
      <w:r>
        <w:separator/>
      </w:r>
    </w:p>
  </w:endnote>
  <w:endnote w:type="continuationSeparator" w:id="0">
    <w:p w14:paraId="5111C9FC" w14:textId="77777777" w:rsidR="00B276D1" w:rsidRDefault="00B276D1" w:rsidP="00E90C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FE08D5" w14:textId="77777777" w:rsidR="00B276D1" w:rsidRDefault="00B276D1" w:rsidP="00E90CE1">
      <w:pPr>
        <w:spacing w:after="0" w:line="240" w:lineRule="auto"/>
      </w:pPr>
      <w:r>
        <w:separator/>
      </w:r>
    </w:p>
  </w:footnote>
  <w:footnote w:type="continuationSeparator" w:id="0">
    <w:p w14:paraId="728D430B" w14:textId="77777777" w:rsidR="00B276D1" w:rsidRDefault="00B276D1" w:rsidP="00E90C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573211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4B8413C" w14:textId="77777777" w:rsidR="00646562" w:rsidRPr="00646562" w:rsidRDefault="00646562">
        <w:pPr>
          <w:pStyle w:val="ae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4656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4656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4656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646562">
          <w:rPr>
            <w:rFonts w:ascii="Times New Roman" w:hAnsi="Times New Roman" w:cs="Times New Roman"/>
            <w:sz w:val="28"/>
            <w:szCs w:val="28"/>
          </w:rPr>
          <w:t>2</w:t>
        </w:r>
        <w:r w:rsidRPr="0064656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3BAB8D23" w14:textId="77777777" w:rsidR="00485862" w:rsidRDefault="00485862" w:rsidP="007D64C1">
    <w:pPr>
      <w:pStyle w:val="a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DBA1A" w14:textId="77777777" w:rsidR="00646562" w:rsidRPr="00646562" w:rsidRDefault="00646562">
    <w:pPr>
      <w:pStyle w:val="ae"/>
      <w:jc w:val="center"/>
      <w:rPr>
        <w:rFonts w:ascii="Times New Roman" w:hAnsi="Times New Roman" w:cs="Times New Roman"/>
        <w:sz w:val="28"/>
        <w:szCs w:val="28"/>
      </w:rPr>
    </w:pPr>
  </w:p>
  <w:p w14:paraId="70794D16" w14:textId="77777777" w:rsidR="00650B7E" w:rsidRDefault="00650B7E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12E3C"/>
    <w:multiLevelType w:val="hybridMultilevel"/>
    <w:tmpl w:val="33FA5068"/>
    <w:lvl w:ilvl="0" w:tplc="0422000F">
      <w:start w:val="1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7B06C7"/>
    <w:multiLevelType w:val="multilevel"/>
    <w:tmpl w:val="80EEC83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26960A62"/>
    <w:multiLevelType w:val="multilevel"/>
    <w:tmpl w:val="088ADDC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2901513E"/>
    <w:multiLevelType w:val="hybridMultilevel"/>
    <w:tmpl w:val="7054BFCA"/>
    <w:lvl w:ilvl="0" w:tplc="5EEAAE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C542C39"/>
    <w:multiLevelType w:val="multilevel"/>
    <w:tmpl w:val="705E693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5" w15:restartNumberingAfterBreak="0">
    <w:nsid w:val="3D5E1221"/>
    <w:multiLevelType w:val="multilevel"/>
    <w:tmpl w:val="705E693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6" w15:restartNumberingAfterBreak="0">
    <w:nsid w:val="3F5A1290"/>
    <w:multiLevelType w:val="multilevel"/>
    <w:tmpl w:val="C68ED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070413A"/>
    <w:multiLevelType w:val="multilevel"/>
    <w:tmpl w:val="D62015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30" w:hanging="720"/>
      </w:pPr>
      <w:rPr>
        <w:rFonts w:ascii="Times New Roman" w:eastAsiaTheme="minorHAns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8" w15:restartNumberingAfterBreak="0">
    <w:nsid w:val="42514F8F"/>
    <w:multiLevelType w:val="hybridMultilevel"/>
    <w:tmpl w:val="86D64D68"/>
    <w:lvl w:ilvl="0" w:tplc="C93ED254">
      <w:start w:val="3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4D2917"/>
    <w:multiLevelType w:val="hybridMultilevel"/>
    <w:tmpl w:val="33FA5068"/>
    <w:lvl w:ilvl="0" w:tplc="FFFFFFFF">
      <w:start w:val="1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AA7B39"/>
    <w:multiLevelType w:val="multilevel"/>
    <w:tmpl w:val="705E693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1" w15:restartNumberingAfterBreak="0">
    <w:nsid w:val="5FE51B1C"/>
    <w:multiLevelType w:val="hybridMultilevel"/>
    <w:tmpl w:val="58B6B8DA"/>
    <w:lvl w:ilvl="0" w:tplc="1F26553C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A8630F0"/>
    <w:multiLevelType w:val="hybridMultilevel"/>
    <w:tmpl w:val="FB046B88"/>
    <w:lvl w:ilvl="0" w:tplc="9C8078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677445"/>
    <w:multiLevelType w:val="hybridMultilevel"/>
    <w:tmpl w:val="ED185DEE"/>
    <w:lvl w:ilvl="0" w:tplc="B76A127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5164418">
    <w:abstractNumId w:val="6"/>
  </w:num>
  <w:num w:numId="2" w16cid:durableId="1064181346">
    <w:abstractNumId w:val="7"/>
  </w:num>
  <w:num w:numId="3" w16cid:durableId="1424256920">
    <w:abstractNumId w:val="0"/>
  </w:num>
  <w:num w:numId="4" w16cid:durableId="1011378461">
    <w:abstractNumId w:val="9"/>
  </w:num>
  <w:num w:numId="5" w16cid:durableId="1264074667">
    <w:abstractNumId w:val="13"/>
  </w:num>
  <w:num w:numId="6" w16cid:durableId="1897011929">
    <w:abstractNumId w:val="5"/>
  </w:num>
  <w:num w:numId="7" w16cid:durableId="190191297">
    <w:abstractNumId w:val="4"/>
  </w:num>
  <w:num w:numId="8" w16cid:durableId="1256287134">
    <w:abstractNumId w:val="8"/>
  </w:num>
  <w:num w:numId="9" w16cid:durableId="138620916">
    <w:abstractNumId w:val="10"/>
  </w:num>
  <w:num w:numId="10" w16cid:durableId="1631476251">
    <w:abstractNumId w:val="12"/>
  </w:num>
  <w:num w:numId="11" w16cid:durableId="418598138">
    <w:abstractNumId w:val="2"/>
  </w:num>
  <w:num w:numId="12" w16cid:durableId="783383960">
    <w:abstractNumId w:val="1"/>
  </w:num>
  <w:num w:numId="13" w16cid:durableId="546575936">
    <w:abstractNumId w:val="3"/>
  </w:num>
  <w:num w:numId="14" w16cid:durableId="199429175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CE1"/>
    <w:rsid w:val="00000396"/>
    <w:rsid w:val="0001133A"/>
    <w:rsid w:val="0001253E"/>
    <w:rsid w:val="00015D01"/>
    <w:rsid w:val="00025FA3"/>
    <w:rsid w:val="00031B06"/>
    <w:rsid w:val="00031EC3"/>
    <w:rsid w:val="00051B83"/>
    <w:rsid w:val="00052E6E"/>
    <w:rsid w:val="0005556D"/>
    <w:rsid w:val="00060B7C"/>
    <w:rsid w:val="000665A1"/>
    <w:rsid w:val="00067C0F"/>
    <w:rsid w:val="00075F1A"/>
    <w:rsid w:val="00080A65"/>
    <w:rsid w:val="00094F38"/>
    <w:rsid w:val="000A22BF"/>
    <w:rsid w:val="000B3145"/>
    <w:rsid w:val="000B35B0"/>
    <w:rsid w:val="000C40F1"/>
    <w:rsid w:val="000D3B94"/>
    <w:rsid w:val="000E249B"/>
    <w:rsid w:val="00121DFE"/>
    <w:rsid w:val="00123305"/>
    <w:rsid w:val="00130E68"/>
    <w:rsid w:val="001402DF"/>
    <w:rsid w:val="001519A8"/>
    <w:rsid w:val="00160975"/>
    <w:rsid w:val="001715BD"/>
    <w:rsid w:val="001755D7"/>
    <w:rsid w:val="00185E86"/>
    <w:rsid w:val="00186787"/>
    <w:rsid w:val="001A2411"/>
    <w:rsid w:val="001A772B"/>
    <w:rsid w:val="001C206E"/>
    <w:rsid w:val="001D3D8C"/>
    <w:rsid w:val="001F0B23"/>
    <w:rsid w:val="001F69E6"/>
    <w:rsid w:val="0022014A"/>
    <w:rsid w:val="00227981"/>
    <w:rsid w:val="00232370"/>
    <w:rsid w:val="002341B1"/>
    <w:rsid w:val="0023579C"/>
    <w:rsid w:val="00251521"/>
    <w:rsid w:val="00264289"/>
    <w:rsid w:val="00265294"/>
    <w:rsid w:val="002655BE"/>
    <w:rsid w:val="0027279A"/>
    <w:rsid w:val="002972AB"/>
    <w:rsid w:val="002A0FFA"/>
    <w:rsid w:val="002A3F4F"/>
    <w:rsid w:val="002B6E5E"/>
    <w:rsid w:val="002C521E"/>
    <w:rsid w:val="002C7528"/>
    <w:rsid w:val="002E2174"/>
    <w:rsid w:val="002F267F"/>
    <w:rsid w:val="002F407E"/>
    <w:rsid w:val="0031162A"/>
    <w:rsid w:val="00312BBD"/>
    <w:rsid w:val="00320750"/>
    <w:rsid w:val="00324878"/>
    <w:rsid w:val="0033070C"/>
    <w:rsid w:val="003333D4"/>
    <w:rsid w:val="00333F86"/>
    <w:rsid w:val="00341298"/>
    <w:rsid w:val="0034626D"/>
    <w:rsid w:val="00347E51"/>
    <w:rsid w:val="003504A8"/>
    <w:rsid w:val="0036100B"/>
    <w:rsid w:val="0036110C"/>
    <w:rsid w:val="00391F1A"/>
    <w:rsid w:val="003A69A4"/>
    <w:rsid w:val="003B7E82"/>
    <w:rsid w:val="003C0984"/>
    <w:rsid w:val="003C1F29"/>
    <w:rsid w:val="003C2AA3"/>
    <w:rsid w:val="003D0C6D"/>
    <w:rsid w:val="003D1B4E"/>
    <w:rsid w:val="003D5CE4"/>
    <w:rsid w:val="003D6E74"/>
    <w:rsid w:val="003D74CF"/>
    <w:rsid w:val="003F0357"/>
    <w:rsid w:val="003F1E3E"/>
    <w:rsid w:val="003F209B"/>
    <w:rsid w:val="004034FA"/>
    <w:rsid w:val="0042009F"/>
    <w:rsid w:val="00422AA9"/>
    <w:rsid w:val="0043797B"/>
    <w:rsid w:val="00440B6F"/>
    <w:rsid w:val="00455740"/>
    <w:rsid w:val="00456722"/>
    <w:rsid w:val="004607EF"/>
    <w:rsid w:val="0046254A"/>
    <w:rsid w:val="00462598"/>
    <w:rsid w:val="00464970"/>
    <w:rsid w:val="00467C46"/>
    <w:rsid w:val="0047304E"/>
    <w:rsid w:val="00474DE8"/>
    <w:rsid w:val="00475099"/>
    <w:rsid w:val="004835D7"/>
    <w:rsid w:val="00484F15"/>
    <w:rsid w:val="00485862"/>
    <w:rsid w:val="00491830"/>
    <w:rsid w:val="004A2953"/>
    <w:rsid w:val="004A5F28"/>
    <w:rsid w:val="004C0722"/>
    <w:rsid w:val="004C6F62"/>
    <w:rsid w:val="004E0FBA"/>
    <w:rsid w:val="004E4115"/>
    <w:rsid w:val="004F2E7D"/>
    <w:rsid w:val="0050087C"/>
    <w:rsid w:val="00502C81"/>
    <w:rsid w:val="0050313B"/>
    <w:rsid w:val="00513E8A"/>
    <w:rsid w:val="00514DF5"/>
    <w:rsid w:val="005245A0"/>
    <w:rsid w:val="005440EC"/>
    <w:rsid w:val="00544F6B"/>
    <w:rsid w:val="00550149"/>
    <w:rsid w:val="00553DE2"/>
    <w:rsid w:val="005548A9"/>
    <w:rsid w:val="00565D65"/>
    <w:rsid w:val="0059106B"/>
    <w:rsid w:val="005A1327"/>
    <w:rsid w:val="005A297F"/>
    <w:rsid w:val="005A3C6F"/>
    <w:rsid w:val="005A4BDE"/>
    <w:rsid w:val="005A58CD"/>
    <w:rsid w:val="005C0402"/>
    <w:rsid w:val="005C4292"/>
    <w:rsid w:val="005E3A06"/>
    <w:rsid w:val="005E495F"/>
    <w:rsid w:val="005E5E73"/>
    <w:rsid w:val="005F4325"/>
    <w:rsid w:val="005F50E5"/>
    <w:rsid w:val="005F6E66"/>
    <w:rsid w:val="00607E25"/>
    <w:rsid w:val="0061173D"/>
    <w:rsid w:val="00613BAA"/>
    <w:rsid w:val="00624E99"/>
    <w:rsid w:val="00625BC2"/>
    <w:rsid w:val="00626684"/>
    <w:rsid w:val="006267A9"/>
    <w:rsid w:val="006403C6"/>
    <w:rsid w:val="00642369"/>
    <w:rsid w:val="00646562"/>
    <w:rsid w:val="00650B7E"/>
    <w:rsid w:val="00651561"/>
    <w:rsid w:val="0065463B"/>
    <w:rsid w:val="00657607"/>
    <w:rsid w:val="00660117"/>
    <w:rsid w:val="006755DA"/>
    <w:rsid w:val="00676F2F"/>
    <w:rsid w:val="006802EF"/>
    <w:rsid w:val="006815BD"/>
    <w:rsid w:val="00687997"/>
    <w:rsid w:val="0069122B"/>
    <w:rsid w:val="00695E93"/>
    <w:rsid w:val="006A0CF1"/>
    <w:rsid w:val="006A6B96"/>
    <w:rsid w:val="006C73D6"/>
    <w:rsid w:val="006D65F1"/>
    <w:rsid w:val="006D7BBB"/>
    <w:rsid w:val="00705745"/>
    <w:rsid w:val="007166A2"/>
    <w:rsid w:val="007227C8"/>
    <w:rsid w:val="00742020"/>
    <w:rsid w:val="00745281"/>
    <w:rsid w:val="00753020"/>
    <w:rsid w:val="00754511"/>
    <w:rsid w:val="00756E09"/>
    <w:rsid w:val="0076448F"/>
    <w:rsid w:val="00776B3E"/>
    <w:rsid w:val="00780CC6"/>
    <w:rsid w:val="007868A8"/>
    <w:rsid w:val="007B16BF"/>
    <w:rsid w:val="007B4F39"/>
    <w:rsid w:val="007C24E4"/>
    <w:rsid w:val="007C33B3"/>
    <w:rsid w:val="007C606D"/>
    <w:rsid w:val="007D1B2C"/>
    <w:rsid w:val="007D64C1"/>
    <w:rsid w:val="007D658B"/>
    <w:rsid w:val="007D75F6"/>
    <w:rsid w:val="007D798E"/>
    <w:rsid w:val="007E2126"/>
    <w:rsid w:val="007E5C4A"/>
    <w:rsid w:val="007E6ED8"/>
    <w:rsid w:val="007F4DAA"/>
    <w:rsid w:val="008023B6"/>
    <w:rsid w:val="00804DE3"/>
    <w:rsid w:val="008123FA"/>
    <w:rsid w:val="00832260"/>
    <w:rsid w:val="0083639A"/>
    <w:rsid w:val="00837428"/>
    <w:rsid w:val="00845C37"/>
    <w:rsid w:val="0084660D"/>
    <w:rsid w:val="008524F8"/>
    <w:rsid w:val="00860A75"/>
    <w:rsid w:val="00860DAA"/>
    <w:rsid w:val="00860E09"/>
    <w:rsid w:val="008725F5"/>
    <w:rsid w:val="00876305"/>
    <w:rsid w:val="00884D50"/>
    <w:rsid w:val="00897C78"/>
    <w:rsid w:val="008B04D6"/>
    <w:rsid w:val="008B5AAC"/>
    <w:rsid w:val="008C7B45"/>
    <w:rsid w:val="008D1085"/>
    <w:rsid w:val="008D1B04"/>
    <w:rsid w:val="008E51ED"/>
    <w:rsid w:val="008E5AC7"/>
    <w:rsid w:val="008F1E54"/>
    <w:rsid w:val="008F6D80"/>
    <w:rsid w:val="008F71DA"/>
    <w:rsid w:val="00931FF0"/>
    <w:rsid w:val="00933A91"/>
    <w:rsid w:val="00935DBF"/>
    <w:rsid w:val="00945BA1"/>
    <w:rsid w:val="009621E0"/>
    <w:rsid w:val="00963EC1"/>
    <w:rsid w:val="009962A5"/>
    <w:rsid w:val="009977A3"/>
    <w:rsid w:val="009A3320"/>
    <w:rsid w:val="009C043C"/>
    <w:rsid w:val="009C0D7E"/>
    <w:rsid w:val="009D391B"/>
    <w:rsid w:val="009D40C1"/>
    <w:rsid w:val="009D6ADC"/>
    <w:rsid w:val="009E02CE"/>
    <w:rsid w:val="009F5121"/>
    <w:rsid w:val="00A05BDC"/>
    <w:rsid w:val="00A06164"/>
    <w:rsid w:val="00A1125B"/>
    <w:rsid w:val="00A25308"/>
    <w:rsid w:val="00A34AB8"/>
    <w:rsid w:val="00A52856"/>
    <w:rsid w:val="00A56FFB"/>
    <w:rsid w:val="00A57B21"/>
    <w:rsid w:val="00A6296A"/>
    <w:rsid w:val="00A70B24"/>
    <w:rsid w:val="00A72306"/>
    <w:rsid w:val="00A74366"/>
    <w:rsid w:val="00AA12A0"/>
    <w:rsid w:val="00AB5723"/>
    <w:rsid w:val="00AB6BE6"/>
    <w:rsid w:val="00AC261E"/>
    <w:rsid w:val="00AC28D6"/>
    <w:rsid w:val="00AD00B8"/>
    <w:rsid w:val="00AD0531"/>
    <w:rsid w:val="00AD1162"/>
    <w:rsid w:val="00AD19C2"/>
    <w:rsid w:val="00AF2F2C"/>
    <w:rsid w:val="00B06173"/>
    <w:rsid w:val="00B155D2"/>
    <w:rsid w:val="00B25786"/>
    <w:rsid w:val="00B261CA"/>
    <w:rsid w:val="00B276D1"/>
    <w:rsid w:val="00B4712F"/>
    <w:rsid w:val="00B50BEF"/>
    <w:rsid w:val="00B61ED9"/>
    <w:rsid w:val="00B63648"/>
    <w:rsid w:val="00B72043"/>
    <w:rsid w:val="00B7616C"/>
    <w:rsid w:val="00B80096"/>
    <w:rsid w:val="00B81CB1"/>
    <w:rsid w:val="00B903E0"/>
    <w:rsid w:val="00B947FB"/>
    <w:rsid w:val="00B965B0"/>
    <w:rsid w:val="00BB059E"/>
    <w:rsid w:val="00BB33C6"/>
    <w:rsid w:val="00BC3942"/>
    <w:rsid w:val="00BD34A2"/>
    <w:rsid w:val="00BD727E"/>
    <w:rsid w:val="00BD75C5"/>
    <w:rsid w:val="00BE06F8"/>
    <w:rsid w:val="00BE56AC"/>
    <w:rsid w:val="00BF483A"/>
    <w:rsid w:val="00C16401"/>
    <w:rsid w:val="00C31F73"/>
    <w:rsid w:val="00C34ED6"/>
    <w:rsid w:val="00C43B7E"/>
    <w:rsid w:val="00C46570"/>
    <w:rsid w:val="00C51CA2"/>
    <w:rsid w:val="00C53F46"/>
    <w:rsid w:val="00C608BC"/>
    <w:rsid w:val="00C641DB"/>
    <w:rsid w:val="00C654FA"/>
    <w:rsid w:val="00C75ACE"/>
    <w:rsid w:val="00C837B7"/>
    <w:rsid w:val="00C86404"/>
    <w:rsid w:val="00C93603"/>
    <w:rsid w:val="00C94633"/>
    <w:rsid w:val="00CA14B1"/>
    <w:rsid w:val="00CA32D6"/>
    <w:rsid w:val="00CA479E"/>
    <w:rsid w:val="00CC3E8C"/>
    <w:rsid w:val="00CC415C"/>
    <w:rsid w:val="00CD4134"/>
    <w:rsid w:val="00D017A6"/>
    <w:rsid w:val="00D11EFC"/>
    <w:rsid w:val="00D151C8"/>
    <w:rsid w:val="00D230AE"/>
    <w:rsid w:val="00D233F9"/>
    <w:rsid w:val="00D433DC"/>
    <w:rsid w:val="00D513F8"/>
    <w:rsid w:val="00D61AD6"/>
    <w:rsid w:val="00D7270E"/>
    <w:rsid w:val="00D82441"/>
    <w:rsid w:val="00D833CF"/>
    <w:rsid w:val="00D85D56"/>
    <w:rsid w:val="00D90291"/>
    <w:rsid w:val="00DB19F0"/>
    <w:rsid w:val="00DB6FA7"/>
    <w:rsid w:val="00DB7D02"/>
    <w:rsid w:val="00DC2E4F"/>
    <w:rsid w:val="00DC3C4B"/>
    <w:rsid w:val="00DE0F1C"/>
    <w:rsid w:val="00DF240A"/>
    <w:rsid w:val="00E02F33"/>
    <w:rsid w:val="00E05579"/>
    <w:rsid w:val="00E34D66"/>
    <w:rsid w:val="00E37E4D"/>
    <w:rsid w:val="00E41830"/>
    <w:rsid w:val="00E44E74"/>
    <w:rsid w:val="00E515E6"/>
    <w:rsid w:val="00E66CED"/>
    <w:rsid w:val="00E75EDD"/>
    <w:rsid w:val="00E812DE"/>
    <w:rsid w:val="00E81476"/>
    <w:rsid w:val="00E81C68"/>
    <w:rsid w:val="00E90A9D"/>
    <w:rsid w:val="00E90CE1"/>
    <w:rsid w:val="00E90FDE"/>
    <w:rsid w:val="00E939C9"/>
    <w:rsid w:val="00E96EE6"/>
    <w:rsid w:val="00E970A0"/>
    <w:rsid w:val="00EA0BEC"/>
    <w:rsid w:val="00EB2F35"/>
    <w:rsid w:val="00EC3946"/>
    <w:rsid w:val="00ED34CB"/>
    <w:rsid w:val="00ED4386"/>
    <w:rsid w:val="00EE6DA5"/>
    <w:rsid w:val="00F00A95"/>
    <w:rsid w:val="00F010AB"/>
    <w:rsid w:val="00F01F6C"/>
    <w:rsid w:val="00F11105"/>
    <w:rsid w:val="00F269C0"/>
    <w:rsid w:val="00F31A50"/>
    <w:rsid w:val="00F34449"/>
    <w:rsid w:val="00F37131"/>
    <w:rsid w:val="00F42BE0"/>
    <w:rsid w:val="00F5756B"/>
    <w:rsid w:val="00F60922"/>
    <w:rsid w:val="00F71ACB"/>
    <w:rsid w:val="00F733BA"/>
    <w:rsid w:val="00F815CB"/>
    <w:rsid w:val="00F8269A"/>
    <w:rsid w:val="00F91E5F"/>
    <w:rsid w:val="00F941BD"/>
    <w:rsid w:val="00FA3FD5"/>
    <w:rsid w:val="00FB2A6B"/>
    <w:rsid w:val="00FB2B9A"/>
    <w:rsid w:val="00FB502E"/>
    <w:rsid w:val="00FD07AE"/>
    <w:rsid w:val="00FD6D50"/>
    <w:rsid w:val="00FE2EDC"/>
    <w:rsid w:val="00FF0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14A148"/>
  <w15:chartTrackingRefBased/>
  <w15:docId w15:val="{AEEBA40F-CA71-43AE-B0C1-A1209AFD0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90C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0C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0CE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0C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0CE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0C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0C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90C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90C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90CE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90CE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90CE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90CE1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90CE1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90CE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90CE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90CE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90CE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90CE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E90C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90C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E90C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90C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E90CE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90CE1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E90CE1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E90CE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E90CE1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E90CE1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E90CE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ій колонтитул Знак"/>
    <w:basedOn w:val="a0"/>
    <w:link w:val="ae"/>
    <w:uiPriority w:val="99"/>
    <w:rsid w:val="00E90CE1"/>
  </w:style>
  <w:style w:type="paragraph" w:styleId="af0">
    <w:name w:val="footer"/>
    <w:basedOn w:val="a"/>
    <w:link w:val="af1"/>
    <w:uiPriority w:val="99"/>
    <w:unhideWhenUsed/>
    <w:rsid w:val="00E90CE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ій колонтитул Знак"/>
    <w:basedOn w:val="a0"/>
    <w:link w:val="af0"/>
    <w:uiPriority w:val="99"/>
    <w:rsid w:val="00E90CE1"/>
  </w:style>
  <w:style w:type="table" w:styleId="af2">
    <w:name w:val="Table Grid"/>
    <w:basedOn w:val="a1"/>
    <w:uiPriority w:val="39"/>
    <w:rsid w:val="009C0D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C0D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af3">
    <w:name w:val="Normal (Web)"/>
    <w:basedOn w:val="a"/>
    <w:uiPriority w:val="99"/>
    <w:semiHidden/>
    <w:unhideWhenUsed/>
    <w:rsid w:val="00E81476"/>
    <w:rPr>
      <w:rFonts w:ascii="Times New Roman" w:hAnsi="Times New Roman" w:cs="Times New Roman"/>
      <w:sz w:val="24"/>
      <w:szCs w:val="24"/>
    </w:rPr>
  </w:style>
  <w:style w:type="paragraph" w:customStyle="1" w:styleId="rvps2">
    <w:name w:val="rvps2"/>
    <w:basedOn w:val="a"/>
    <w:rsid w:val="008524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character" w:styleId="af4">
    <w:name w:val="Hyperlink"/>
    <w:basedOn w:val="a0"/>
    <w:uiPriority w:val="99"/>
    <w:unhideWhenUsed/>
    <w:rsid w:val="008524F8"/>
    <w:rPr>
      <w:color w:val="0000FF"/>
      <w:u w:val="single"/>
    </w:rPr>
  </w:style>
  <w:style w:type="character" w:styleId="af5">
    <w:name w:val="Unresolved Mention"/>
    <w:basedOn w:val="a0"/>
    <w:uiPriority w:val="99"/>
    <w:semiHidden/>
    <w:unhideWhenUsed/>
    <w:rsid w:val="00227981"/>
    <w:rPr>
      <w:color w:val="605E5C"/>
      <w:shd w:val="clear" w:color="auto" w:fill="E1DFDD"/>
    </w:rPr>
  </w:style>
  <w:style w:type="character" w:customStyle="1" w:styleId="fontstyle01">
    <w:name w:val="fontstyle01"/>
    <w:basedOn w:val="a0"/>
    <w:rsid w:val="00E75EDD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544F6B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34FDCD-53AC-4E41-839C-FA3A7F6BA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4</Pages>
  <Words>5752</Words>
  <Characters>3280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1 2</dc:creator>
  <cp:keywords/>
  <dc:description/>
  <cp:lastModifiedBy>Пользователь Windows</cp:lastModifiedBy>
  <cp:revision>24</cp:revision>
  <cp:lastPrinted>2025-11-05T15:05:00Z</cp:lastPrinted>
  <dcterms:created xsi:type="dcterms:W3CDTF">2025-11-04T10:20:00Z</dcterms:created>
  <dcterms:modified xsi:type="dcterms:W3CDTF">2025-11-17T13:59:00Z</dcterms:modified>
</cp:coreProperties>
</file>